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rPr>
          <w:rFonts w:hint="eastAsia" w:ascii="宋体" w:hAnsi="宋体"/>
          <w:b/>
          <w:sz w:val="44"/>
          <w:szCs w:val="44"/>
        </w:rPr>
      </w:pPr>
      <w:r>
        <w:rPr>
          <w:rFonts w:hint="eastAsia" w:ascii="宋体" w:hAnsi="宋体"/>
          <w:b/>
          <w:sz w:val="44"/>
          <w:szCs w:val="44"/>
          <w:lang w:eastAsia="zh-CN"/>
        </w:rPr>
        <w:t>潮州</w:t>
      </w:r>
      <w:r>
        <w:rPr>
          <w:rFonts w:hint="eastAsia" w:ascii="宋体" w:hAnsi="宋体"/>
          <w:b/>
          <w:sz w:val="44"/>
          <w:szCs w:val="44"/>
        </w:rPr>
        <w:t>市</w:t>
      </w:r>
      <w:r>
        <w:rPr>
          <w:rFonts w:hint="eastAsia" w:ascii="宋体" w:hAnsi="宋体"/>
          <w:b/>
          <w:sz w:val="44"/>
          <w:szCs w:val="44"/>
          <w:lang w:eastAsia="zh-CN"/>
        </w:rPr>
        <w:t>饶平</w:t>
      </w:r>
      <w:r>
        <w:rPr>
          <w:rFonts w:hint="eastAsia" w:ascii="宋体" w:hAnsi="宋体"/>
          <w:b/>
          <w:sz w:val="44"/>
          <w:szCs w:val="44"/>
        </w:rPr>
        <w:t>县</w:t>
      </w:r>
      <w:r>
        <w:rPr>
          <w:rFonts w:hint="eastAsia" w:ascii="宋体" w:hAnsi="宋体"/>
          <w:b/>
          <w:sz w:val="44"/>
          <w:szCs w:val="44"/>
          <w:lang w:eastAsia="zh-CN"/>
        </w:rPr>
        <w:t>所城</w:t>
      </w:r>
      <w:r>
        <w:rPr>
          <w:rFonts w:hint="eastAsia" w:ascii="宋体" w:hAnsi="宋体"/>
          <w:b/>
          <w:sz w:val="44"/>
          <w:szCs w:val="44"/>
        </w:rPr>
        <w:t>镇</w:t>
      </w:r>
    </w:p>
    <w:p>
      <w:pPr>
        <w:pStyle w:val="6"/>
        <w:jc w:val="center"/>
        <w:rPr>
          <w:rFonts w:ascii="宋体" w:hAnsi="宋体"/>
          <w:b/>
          <w:bCs/>
          <w:sz w:val="84"/>
          <w:szCs w:val="84"/>
        </w:rPr>
      </w:pPr>
      <w:r>
        <w:rPr>
          <w:rFonts w:hint="eastAsia" w:ascii="宋体" w:hAnsi="宋体"/>
          <w:b/>
          <w:sz w:val="44"/>
          <w:szCs w:val="44"/>
        </w:rPr>
        <w:t>申报广东省教育强镇复评验收材料</w:t>
      </w:r>
    </w:p>
    <w:p>
      <w:pPr>
        <w:pStyle w:val="6"/>
        <w:jc w:val="both"/>
        <w:rPr>
          <w:rFonts w:ascii="宋体" w:hAnsi="宋体"/>
          <w:b/>
          <w:bCs/>
          <w:sz w:val="84"/>
          <w:szCs w:val="84"/>
        </w:rPr>
      </w:pPr>
    </w:p>
    <w:p>
      <w:pPr>
        <w:pStyle w:val="6"/>
        <w:jc w:val="center"/>
        <w:rPr>
          <w:rFonts w:hint="eastAsia" w:ascii="黑体" w:hAnsi="黑体" w:eastAsia="黑体"/>
          <w:b/>
          <w:bCs/>
          <w:sz w:val="96"/>
          <w:szCs w:val="96"/>
        </w:rPr>
      </w:pPr>
      <w:r>
        <w:rPr>
          <w:rFonts w:hint="eastAsia" w:ascii="黑体" w:hAnsi="黑体" w:eastAsia="黑体"/>
          <w:b/>
          <w:bCs/>
          <w:sz w:val="96"/>
          <w:szCs w:val="96"/>
        </w:rPr>
        <w:t>自</w:t>
      </w:r>
    </w:p>
    <w:p>
      <w:pPr>
        <w:pStyle w:val="6"/>
        <w:jc w:val="center"/>
        <w:rPr>
          <w:rFonts w:hint="eastAsia" w:ascii="黑体" w:hAnsi="黑体" w:eastAsia="黑体"/>
          <w:b/>
          <w:bCs/>
          <w:sz w:val="96"/>
          <w:szCs w:val="96"/>
        </w:rPr>
      </w:pPr>
    </w:p>
    <w:p>
      <w:pPr>
        <w:pStyle w:val="6"/>
        <w:jc w:val="center"/>
        <w:rPr>
          <w:rFonts w:hint="eastAsia" w:ascii="黑体" w:hAnsi="黑体" w:eastAsia="黑体"/>
          <w:b/>
          <w:bCs/>
          <w:sz w:val="96"/>
          <w:szCs w:val="96"/>
        </w:rPr>
      </w:pPr>
      <w:r>
        <w:rPr>
          <w:rFonts w:hint="eastAsia" w:ascii="黑体" w:hAnsi="黑体" w:eastAsia="黑体"/>
          <w:b/>
          <w:bCs/>
          <w:sz w:val="96"/>
          <w:szCs w:val="96"/>
        </w:rPr>
        <w:t>评</w:t>
      </w:r>
    </w:p>
    <w:p>
      <w:pPr>
        <w:pStyle w:val="6"/>
        <w:jc w:val="center"/>
        <w:rPr>
          <w:rFonts w:hint="eastAsia" w:ascii="黑体" w:hAnsi="黑体" w:eastAsia="黑体"/>
          <w:b/>
          <w:bCs/>
          <w:sz w:val="96"/>
          <w:szCs w:val="96"/>
        </w:rPr>
      </w:pPr>
    </w:p>
    <w:p>
      <w:pPr>
        <w:pStyle w:val="6"/>
        <w:jc w:val="center"/>
        <w:rPr>
          <w:rFonts w:hint="eastAsia" w:ascii="黑体" w:hAnsi="黑体" w:eastAsia="黑体"/>
          <w:b/>
          <w:bCs/>
          <w:sz w:val="96"/>
          <w:szCs w:val="96"/>
          <w:lang w:eastAsia="zh-CN"/>
        </w:rPr>
      </w:pPr>
      <w:r>
        <w:rPr>
          <w:rFonts w:hint="eastAsia" w:ascii="黑体" w:hAnsi="黑体" w:eastAsia="黑体"/>
          <w:b/>
          <w:bCs/>
          <w:sz w:val="96"/>
          <w:szCs w:val="96"/>
          <w:lang w:val="en-US" w:eastAsia="zh-CN"/>
        </w:rPr>
        <w:t>报</w:t>
      </w:r>
    </w:p>
    <w:p>
      <w:pPr>
        <w:pStyle w:val="6"/>
        <w:jc w:val="center"/>
        <w:rPr>
          <w:rFonts w:hint="eastAsia" w:ascii="黑体" w:hAnsi="黑体" w:eastAsia="黑体"/>
          <w:b/>
          <w:bCs/>
          <w:sz w:val="96"/>
          <w:szCs w:val="96"/>
        </w:rPr>
      </w:pPr>
    </w:p>
    <w:p>
      <w:pPr>
        <w:pStyle w:val="6"/>
        <w:jc w:val="center"/>
        <w:rPr>
          <w:rFonts w:hint="eastAsia" w:ascii="黑体" w:hAnsi="黑体" w:eastAsia="黑体"/>
          <w:b/>
          <w:bCs/>
          <w:sz w:val="96"/>
          <w:szCs w:val="96"/>
          <w:lang w:val="en-US" w:eastAsia="zh-CN"/>
        </w:rPr>
      </w:pPr>
      <w:r>
        <w:rPr>
          <w:rFonts w:hint="eastAsia" w:ascii="黑体" w:hAnsi="黑体" w:eastAsia="黑体"/>
          <w:b/>
          <w:bCs/>
          <w:sz w:val="96"/>
          <w:szCs w:val="96"/>
          <w:lang w:val="en-US" w:eastAsia="zh-CN"/>
        </w:rPr>
        <w:t>告</w:t>
      </w:r>
    </w:p>
    <w:p>
      <w:pPr>
        <w:pStyle w:val="6"/>
        <w:jc w:val="both"/>
        <w:rPr>
          <w:rFonts w:ascii="宋体" w:hAnsi="宋体"/>
        </w:rPr>
      </w:pPr>
    </w:p>
    <w:p>
      <w:pPr>
        <w:pStyle w:val="6"/>
        <w:jc w:val="both"/>
        <w:rPr>
          <w:rFonts w:ascii="宋体" w:hAnsi="宋体"/>
        </w:rPr>
      </w:pPr>
      <w:bookmarkStart w:id="0" w:name="_GoBack"/>
      <w:bookmarkEnd w:id="0"/>
    </w:p>
    <w:p>
      <w:pPr>
        <w:pStyle w:val="6"/>
        <w:jc w:val="both"/>
        <w:rPr>
          <w:rFonts w:ascii="宋体" w:hAnsi="宋体"/>
        </w:rPr>
      </w:pPr>
    </w:p>
    <w:p>
      <w:pPr>
        <w:pStyle w:val="6"/>
        <w:rPr>
          <w:rFonts w:ascii="宋体" w:hAnsi="宋体"/>
        </w:rPr>
      </w:pPr>
    </w:p>
    <w:p>
      <w:pPr>
        <w:pStyle w:val="6"/>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饶平</w:t>
      </w:r>
      <w:r>
        <w:rPr>
          <w:rFonts w:hint="eastAsia" w:ascii="仿宋_GB2312" w:hAnsi="仿宋_GB2312" w:eastAsia="仿宋_GB2312" w:cs="仿宋_GB2312"/>
          <w:sz w:val="32"/>
          <w:szCs w:val="32"/>
        </w:rPr>
        <w:t>县</w:t>
      </w:r>
      <w:r>
        <w:rPr>
          <w:rFonts w:hint="eastAsia" w:ascii="仿宋_GB2312" w:hAnsi="仿宋_GB2312" w:eastAsia="仿宋_GB2312" w:cs="仿宋_GB2312"/>
          <w:sz w:val="32"/>
          <w:szCs w:val="32"/>
          <w:lang w:eastAsia="zh-CN"/>
        </w:rPr>
        <w:t>所城</w:t>
      </w:r>
      <w:r>
        <w:rPr>
          <w:rFonts w:hint="eastAsia" w:ascii="仿宋_GB2312" w:hAnsi="仿宋_GB2312" w:eastAsia="仿宋_GB2312" w:cs="仿宋_GB2312"/>
          <w:sz w:val="32"/>
          <w:szCs w:val="32"/>
        </w:rPr>
        <w:t>镇人民政府</w:t>
      </w:r>
    </w:p>
    <w:p>
      <w:pPr>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2017年</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0日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简体" w:hAnsi="方正小标宋简体" w:eastAsia="方正小标宋简体" w:cs="方正小标宋简体"/>
          <w:sz w:val="44"/>
          <w:szCs w:val="44"/>
          <w:lang w:eastAsia="zh-CN"/>
        </w:rPr>
        <w:sectPr>
          <w:pgSz w:w="11906" w:h="16838"/>
          <w:pgMar w:top="1440" w:right="1800" w:bottom="1440" w:left="1800" w:header="851" w:footer="992" w:gutter="0"/>
          <w:pgNumType w:fmt="numberInDash"/>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 xml:space="preserve">有力有为  精益求精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仿宋_GB2312" w:hAnsi="仿宋_GB2312" w:eastAsia="仿宋_GB2312" w:cs="仿宋_GB2312"/>
          <w:sz w:val="44"/>
          <w:szCs w:val="44"/>
          <w:lang w:eastAsia="zh-CN"/>
        </w:rPr>
      </w:pPr>
      <w:r>
        <w:rPr>
          <w:rFonts w:hint="eastAsia" w:ascii="方正小标宋简体" w:hAnsi="方正小标宋简体" w:eastAsia="方正小标宋简体" w:cs="方正小标宋简体"/>
          <w:sz w:val="44"/>
          <w:szCs w:val="44"/>
          <w:lang w:eastAsia="zh-CN"/>
        </w:rPr>
        <w:t>全面推进所城教育新发展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——饶平县所城镇申报广东省教育强镇复评自评报告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楷体" w:hAnsi="楷体" w:eastAsia="楷体" w:cs="楷体"/>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我镇党委、政府高度重视教育工作，不断</w:t>
      </w:r>
      <w:r>
        <w:rPr>
          <w:rFonts w:hint="eastAsia" w:ascii="仿宋_GB2312" w:hAnsi="仿宋_GB2312" w:eastAsia="仿宋_GB2312" w:cs="仿宋_GB2312"/>
          <w:sz w:val="32"/>
          <w:szCs w:val="32"/>
          <w:lang w:val="en-US" w:eastAsia="zh-CN"/>
        </w:rPr>
        <w:t>地</w:t>
      </w:r>
      <w:r>
        <w:rPr>
          <w:rFonts w:hint="eastAsia" w:ascii="仿宋_GB2312" w:hAnsi="仿宋_GB2312" w:eastAsia="仿宋_GB2312" w:cs="仿宋_GB2312"/>
          <w:sz w:val="32"/>
          <w:szCs w:val="32"/>
          <w:lang w:eastAsia="zh-CN"/>
        </w:rPr>
        <w:t>推动全镇教育事业更好发展。我镇于201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年成功创建“广东省教育强镇”以后，继续坚持教育优先发展的理念不动摇，把巩固教育强镇成果，提升教育发展水平作为一项主要工作来抓。针对当年督导验收组提出的后续发展建议，总结经验、正视不足、与时俱进、锐意创新，想方设法筹集资金，不断加大教育投入，完善教学条件，加强教师队伍建设，提高教师综合素质，坚持优质发展，提升学校办学水平和品位，使全镇的教育事业迈上一个新台阶。对照《广东省教育强镇督导验收方案》的标准要求，我镇进行了认真细致的整改工作。现将我镇教育强镇复评工作自评报告如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一、基本情况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所城镇位于饶平县东南沿海，东与大埕镇相邻，南与柘林镇接壤，西与黄冈镇相接，北与福建省诏安县毗邻，依山临海，自然条件优越。全镇总面积50.9平方公里，总人口45364人，下辖1个居委会和11个村委会。目前全镇有中心幼儿园1所、完全小学5所、非完全小学3所、初级中学2所、九年一贯制学校0所、成人文化技术学校1间，在校中小学生总数</w:t>
      </w:r>
      <w:r>
        <w:rPr>
          <w:rFonts w:hint="eastAsia" w:ascii="仿宋_GB2312" w:hAnsi="仿宋_GB2312" w:eastAsia="仿宋_GB2312" w:cs="仿宋_GB2312"/>
          <w:sz w:val="32"/>
          <w:szCs w:val="32"/>
          <w:lang w:val="en-US" w:eastAsia="zh-CN"/>
        </w:rPr>
        <w:t>3120</w:t>
      </w:r>
      <w:r>
        <w:rPr>
          <w:rFonts w:hint="eastAsia" w:ascii="仿宋_GB2312" w:hAnsi="仿宋_GB2312" w:eastAsia="仿宋_GB2312" w:cs="仿宋_GB2312"/>
          <w:sz w:val="32"/>
          <w:szCs w:val="32"/>
          <w:lang w:eastAsia="zh-CN"/>
        </w:rPr>
        <w:t>人。形成了学前教育、基础教育、成人教育协调发展的良好局面，中心小学、所城中学和慈云中学先后获得“教育先进单位”“‘尊师重学’优秀教师”“优秀校长”“优秀教师”“优秀德育工作者”、“</w:t>
      </w:r>
      <w:r>
        <w:rPr>
          <w:rFonts w:hint="eastAsia" w:ascii="仿宋_GB2312" w:hAnsi="仿宋_GB2312" w:eastAsia="仿宋_GB2312" w:cs="仿宋_GB2312"/>
          <w:sz w:val="32"/>
          <w:szCs w:val="32"/>
          <w:lang w:val="en-US" w:eastAsia="zh-CN"/>
        </w:rPr>
        <w:t>2015年县</w:t>
      </w:r>
      <w:r>
        <w:rPr>
          <w:rFonts w:hint="eastAsia" w:ascii="仿宋_GB2312" w:hAnsi="仿宋_GB2312" w:eastAsia="仿宋_GB2312" w:cs="仿宋_GB2312"/>
          <w:sz w:val="32"/>
          <w:szCs w:val="32"/>
          <w:lang w:eastAsia="zh-CN"/>
        </w:rPr>
        <w:t>中考先进单位”和“市文明校园”“县德育示范学校”称号。</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（一）文化底蕴深厚，历来崇文重教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所城镇历史悠久，文化底蕴深厚。早在</w:t>
      </w:r>
      <w:r>
        <w:rPr>
          <w:rFonts w:hint="eastAsia" w:ascii="仿宋_GB2312" w:hAnsi="仿宋_GB2312" w:eastAsia="仿宋_GB2312" w:cs="仿宋_GB2312"/>
          <w:sz w:val="32"/>
          <w:szCs w:val="32"/>
          <w:lang w:val="en-US" w:eastAsia="zh-CN"/>
        </w:rPr>
        <w:t>600</w:t>
      </w:r>
      <w:r>
        <w:rPr>
          <w:rFonts w:hint="eastAsia" w:ascii="仿宋_GB2312" w:hAnsi="仿宋_GB2312" w:eastAsia="仿宋_GB2312" w:cs="仿宋_GB2312"/>
          <w:sz w:val="32"/>
          <w:szCs w:val="32"/>
          <w:lang w:eastAsia="zh-CN"/>
        </w:rPr>
        <w:t>多年前，所城地区就己有人群聚居。所城之名，源自明朝洪武二十七年（1394年）建成用于抵御倭寇的大城所古城。大城所古城作为明清时期潮州府的海防前哨，是东南沿海抗倭的坚强堡垒，在卫国守土等方面发挥着极为重要的历史作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所城镇具有崇文重教的优良传统。</w:t>
      </w:r>
      <w:r>
        <w:rPr>
          <w:rFonts w:hint="eastAsia" w:ascii="仿宋_GB2312" w:hAnsi="仿宋_GB2312" w:eastAsia="仿宋_GB2312" w:cs="仿宋_GB2312"/>
          <w:sz w:val="32"/>
          <w:szCs w:val="32"/>
          <w:lang w:val="en-US" w:eastAsia="zh-CN"/>
        </w:rPr>
        <w:t>一直以来，</w:t>
      </w:r>
      <w:r>
        <w:rPr>
          <w:rFonts w:hint="eastAsia" w:ascii="仿宋_GB2312" w:hAnsi="仿宋_GB2312" w:eastAsia="仿宋_GB2312" w:cs="仿宋_GB2312"/>
          <w:sz w:val="32"/>
          <w:szCs w:val="32"/>
          <w:lang w:eastAsia="zh-CN"/>
        </w:rPr>
        <w:t>我镇教育工作多次受到上级有关部门的好评</w:t>
      </w:r>
      <w:r>
        <w:rPr>
          <w:rFonts w:hint="eastAsia" w:ascii="仿宋_GB2312" w:hAnsi="仿宋_GB2312" w:eastAsia="仿宋_GB2312" w:cs="仿宋_GB2312"/>
          <w:sz w:val="32"/>
          <w:szCs w:val="32"/>
          <w:lang w:val="en-US" w:eastAsia="zh-CN"/>
        </w:rPr>
        <w:t>。境内有中心幼儿园、中心小学、龙湾小学、宏南小学、宏北小学、南任小学、高埕小学、鸿东小学、北山小学、所城中学、慈云中学。2005年，天津大学杨恩泽教授捐建中心小学“成和教学楼”，设立“成和”奖学金。近几年来，所城镇党委、政府高度重视教育事业发展，千方百计筹集资金，加大教育投入，改善办学条件，提高办学效益。镇中小学、慈云中学曾多次被县教育局评为“教育先进单位”、“中考先进单位”。特别是2014年6月创强以后，校园绿树如荫，四季如春，环境幽雅，设备不断完善，师资力量不断增强，乐教乐学蔚然成风。学校全面贯彻教育方针，积极实施素质教育，不断加强学校内部管理，教育教学质量稳步提升，中考入重点围人数逐年增加，各项工作均取得较显著成绩，2016年通过县域内均衡学校验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（二）重视文化科教，英才毓秀辈出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所城镇是孕育英才毓秀的摇篮。在较早的东里（所城）先民时代，部分遗臣贤士带来了先进的中原文化，大力兴办学馆，普及文化教育。在潮汕地区，当时东里的文化活动十分活跃。明朝一品大员陈天资在《东里志·序》中指出：“且旧谓东里，家诗书而户礼乐，务本力穑，其俗朴，其民淳，有三代遗风焉。”深厚的文化底蕴，培养出一批批德才兼备的优秀人才。陈天资先生致仕后，在家乡“采辑旧闻，搜罗遗逸”，发现了不少名姓无传的官宦遗迹，其中有的是东魏甚至更早时间留下来的。有史料记载的，东里宋有翁士龙、麦进成、陈东园、陈耆英登进士第，明洪武至崇祯年间，共有三十几人考取了举人和进士，出现了“一巷五进士，一科四举人”的盛事。他们中的佼佼者，“一身系国三更梦，万里思亲九断肠。”仁义之声动天下，慈善之举泽梓里。亦如《东里志·后序》所说：“及其风气既开，人文既著，则兴起斯文者，非天也，人也。自东里志之所能识，迄于今豪杰之生于我里者无数，而能兴起斯文为己任者，若曹宗道之善课多士，陈子旃之笃志力行，周舜中之博学清修，一时人士，翕然宗之，家诗书而户礼乐，亚邹鲁矣”。建国后，特别是改革开放以来，东里为国家各条战线输送了大批人才。其中不乏部级、厅级、处级干部和优秀企业家、高级专业技术骨干、其它各行各业带头人。“书生快意南天剑，莽汉留连万杏坛”的动人情景又为大家所津津乐道。近年来，孕育了一大批诸如</w:t>
      </w:r>
      <w:r>
        <w:rPr>
          <w:rFonts w:hint="eastAsia" w:ascii="仿宋_GB2312" w:hAnsi="仿宋_GB2312" w:eastAsia="仿宋_GB2312" w:cs="仿宋_GB2312"/>
          <w:sz w:val="32"/>
          <w:szCs w:val="32"/>
          <w:lang w:val="en-US" w:eastAsia="zh-CN"/>
        </w:rPr>
        <w:t>天津大学教授杨恩泽等一大批人才。</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二、整改情况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正视存在问题，全力做好整改工作。 201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 xml:space="preserve">月通过广东省教育强镇督导验收以后，我镇根据评估组的意见和建议，高度重视整改工作，成立创强整改后续工作领导小组，制定详细整改方案并逐步落实。进一步加大对教育的投入，优化办学条件，促进各类教育均衡、协调发展；进一步加强教师队伍建设，规范办学行为，提高管理水平，提升了我镇教育的核心竞争力，全面完成了整改工作任务。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（一）不断加大投入，配足教学设备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为进一步完善教学电教设备，镇党委、政府不断增加教育投入，按要求配足份额。我镇中心小学原有教学计算机</w:t>
      </w:r>
      <w:r>
        <w:rPr>
          <w:rFonts w:hint="eastAsia" w:ascii="仿宋_GB2312" w:hAnsi="仿宋_GB2312" w:eastAsia="仿宋_GB2312" w:cs="仿宋_GB2312"/>
          <w:sz w:val="32"/>
          <w:szCs w:val="32"/>
          <w:lang w:val="en-US" w:eastAsia="zh-CN"/>
        </w:rPr>
        <w:t>29+1台，目前已增加安装16台，即现有教学计算机45+1台；两所初级中学原有教学计算机24+1台，目前已增加安装26台，即现有教学计算机50+1台。全镇累计增加计算机68台。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（二）完善基础设施，改善办学条件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一方面，提高课室照明度，对所城中学、北山教学点、鸿南小学等部分课室加装灯管，数量增至</w:t>
      </w:r>
      <w:r>
        <w:rPr>
          <w:rFonts w:hint="eastAsia" w:ascii="仿宋_GB2312" w:hAnsi="仿宋_GB2312" w:eastAsia="仿宋_GB2312" w:cs="仿宋_GB2312"/>
          <w:sz w:val="32"/>
          <w:szCs w:val="32"/>
          <w:lang w:val="en-US" w:eastAsia="zh-CN"/>
        </w:rPr>
        <w:t>8条以上，提高照明度；另方面，加强校园安全建设，对存在安全隐患的北山教学点教学楼走廊护栏采用不锈钢管进行加高，高度达1.23米，并加大对校园安全隐患风险源的管控力度，加强日常巡查，发现源头及时整改，确保校园安全“零事故”。</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（三）强化档案续建，完成资料保存</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积极完成各学年档案续建工作，做到内容充实详实，规范摆放，同时推进我镇学生体质健康上报工作，及时上报，确保上报率达标，并保管好上报原始资料。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三、主要做法和成效</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自通过“广东省教育强镇”评估验收以来，我镇深入贯彻落实十八大精神，坚持以办人民满意的教育为宗旨，以深化教育改革为动力，以促进学校内涵提升为导向，以建设义务教育阶段规范化学校、创建现代化学校为契机，以提高基础教育水平为重点，以促进教育均衡发展和加强师资队伍建设为中心，认真做好各项准备工作，确保我镇顺利通过省教育强镇的复评验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（一）优先发展教育，全力巩固“创强”成果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我镇党委、政府高度重视教育事业的发展，坚持把教育放在先导性、全面性、基础性的战略地位，全面贯彻《教育法》、《教师法》、《义务教育法》和《未成年人保护法》，落实《国务院关于基础教育改革和发展的决定》，加强对教育的领导，强化政府职能，全力巩固“创强”成果。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提高认识，落实责任。我镇历届党政班子本着“为官一任，造福一方”的责任意识和服务宗旨，把推进教育现代化建设纳入全镇经济社会发展的总体规划，摆在优先发展的战略地位。制定了教育发展的规划，指导全镇教育发展与改革工作；建立健全政府教育目标管理责任制，把教育工作完成情况作为镇村干部年度考核的主要内容；党政主要领导亲自抓教育，及时研究解决涉及教育现代化建设的重大问题，特别是财政投入、教师队伍建设等问题，纳入镇年度工作重点，切实抓好督查落实。</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营造氛围，尊师重教。我镇重视宣传和贯彻落实《教育法》、《教师法》，使全镇尊师重教的社会氛围更加浓厚。同时，采取有效措施，激发教师工作的积极性。镇党委、政府主要领导平时经常深入到学校，了解学校的教育教学情况及教师的工作、学习、生活情况，亲自过问教师在工作、家庭、生活中遇到的困难，努力为他们排忧解难。每逢节假日，镇领导都到学校慰问教师，每年教师节召开表彰暨慰问会，镇党委、镇政府都拨出专款慰问全镇中小学教师，表彰教育先进单位，奖励县、镇先进教师。同时镇党委、政府还积极争取校友、乡贤、华侨的支持，捐资助学东里教育促进会，个别村（社区）、学校设立了奖教奖学基金会（例如鸿南奖教奖学基金会、中心小学“成和”奖学金），奖励教师和学生。近三年来，我镇共投入20万元奖励、慰问教师。同时，我镇还想方设法关心教师，改善、提高教师福利待遇，组织教师进行健康体检，完善教师文体活动场所设施，增加活动经费的投入。每届县、镇党代表和人大代表中都有一定比例的教师代表，我们还积极吸收优秀的教师入党，充分发挥党员教师的先锋模范作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健全机制，依法治教。几年来，我镇不断加强对教育工作的领导，完善和健全相关制度，严格执行上级义务教育经费投入保障机制，按时足额拨付义务教育阶段学校的教育经费，制定校舍维修改造的实施方案，把开展扶贫助学制度化，拟定学生住校安全保障与管理办法，禁止社会车辆违规接送学生等，形成了良好的法治环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（二）正视存在问题，全力做好整改工作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自广东省教育强镇督导验收后，我镇继续深入推进镇教育事业建设，进一步加大对教育的投入，优化办学条件，促进各类教育均衡、协调发展，进一步加强教师队伍建设，规范办学行为，提高管理水平，</w:t>
      </w:r>
      <w:r>
        <w:rPr>
          <w:rFonts w:hint="eastAsia" w:ascii="仿宋_GB2312" w:hAnsi="仿宋_GB2312" w:eastAsia="仿宋_GB2312" w:cs="仿宋_GB2312"/>
          <w:sz w:val="32"/>
          <w:szCs w:val="32"/>
        </w:rPr>
        <w:t>着力打造特色教育品牌，</w:t>
      </w:r>
      <w:r>
        <w:rPr>
          <w:rFonts w:hint="eastAsia" w:ascii="仿宋_GB2312" w:hAnsi="仿宋_GB2312" w:eastAsia="仿宋_GB2312" w:cs="仿宋_GB2312"/>
          <w:sz w:val="32"/>
          <w:szCs w:val="32"/>
          <w:lang w:val="en-US" w:eastAsia="zh-CN"/>
        </w:rPr>
        <w:t>提升了我镇教育的核心竞争力，全力推进我镇教育现代化建设。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加大资金投入，改善教学条件。镇党委、政府不断增加教育投入，改善教育教学条件。三年来，累计投入240多万元（其中政府财政投入105万元，创现奖补资金95万，乡贤、老板等社会力量捐款40万元），对中小学电脑室进行更新换代；添置师生专用计算机138台；安装中小学电教平台42个及完善中小学的校园网建设、添置图书资料、维修校舍等，使我镇各校的办学条件得到全面改善，现代教育装备水平明显提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优化师资队伍，全面提高育人水平。近年来，我们以制度管理人，以情感团结人，以待遇留住人，以成功激励人，努力提升全镇教师队伍的整体素质，培育了一支爱岗敬业、无私奉献、乐于山区教育的教师队伍。</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加强校长队伍建设。我镇注重加强学校领导班子建设，推进校长队伍知识化、年轻化、专业化。全镇共有中小学正副校长10人，其中本科学历5人，大专学历5人，中小学校长全部具有中级以上职称。我镇通过组织参加落实党的群众路线教育实践活动、“两学一做”和主题党课等教育，提高校长的政治素质，通过输送校长参加各类业务培训，提高校长的业务知识和管理水平。同时进一步健全了校长岗位责任制，落实校长任期目标责任制和工作实绩考核制度，坚持每年对校长进行考核，在制度上最大限度地激发校长的办学热情，有效地促进校长办学能力的提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近几年来，中小学的办学水平和办学成效得到广泛认可，受到各级党委、政府的表彰，获得了各种荣誉，校长2人次分别荣获县“优秀校长”、“名校长”的荣誉称号。</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努力优化教师队伍。我镇坚持把师风师德作为教师队伍建设的重点来抓，全面贯彻《中小学教师职业道德规范》，深入开展师风师德教育活动，严格要求全体教师履行岗位职责，爱岗敬业，教书育人。鼓励教师争当名教师、优秀教师、优秀班主任、教改积极分子，提高党课培训和主题党会等多项活动帮助教师树立正确的世界观、人生观、价值观，端正教育思想，增强责任感，时刻以人民教师职业道德严格要求自己。鼓励教师结合教育教学实际，积极撰写师德论文，参与研讨与评比，在活动中提高师德修养。三年来，全镇教师共有93人次荣获省、市、县奖励。全镇教职工遵守职业道德，无违法犯罪人员，无参加“法轮功”、“六合彩”赌博活动，无体罚或变相体罚学生现象。教师为人师表的形象得到社会和广大群众的一致赞誉。为进一步提高教师自身的专业知识水平和业务能力，我镇鼓励教师积极参加学历进修和继续教育学习，启动“名师”培训工程，鼓励教师参加名师培训，鼓励各校根据实际，举办业务讲座，认真学习现代教育理论，转变教育观念，学习现代教育技术，大力开展教师基本功比赛、优质课比赛、说课比赛，教学经验交流，论文评比等活动，号召教师参加镇组织的“日常规范五字诀”和“真善美”征文等各种比赛，对获奖的教师进行了奖励，为教师提供施展才华的平台，切实提高教师的综合素质和教育教学水平。同时，以新课程改革为依托，以培养学生的创新精神和实践能力为目标，以课堂教学改革为抓手，积极组织校本教研活动，组织有经验的教师对青年教师进行传、帮、带，使他们迅速成长起来。此外，中小学校以课程改革为中心，积极开展校本研究，走教改强校，科研强校之路，营造了浓厚的教学研究氛围，形成了科研促教的良好教风。</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近年来，我镇教师的综合素质得到明显提升，中小学有骨干教师、学科带头人9人；有46篇论文在市、县各级比赛中获奖；有15人次参加全县优质课比赛、说课比赛共获奖，有2名教师在全县教师基本功比赛中获奖。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（三）实施素质教育，促进学生全面发展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我镇在实施素质教育中，充分发挥本土资源优势，推动中小学教育教学质量的全面提高，引导学生学会做人，促进学生的全面发展。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弘扬“旱龙精神”，培养美好情操。旱龙精神的特色，概括地来说就是“爱国进取、拼搏奋发”民族精神。无论是远涉重洋的“海外赤子”，还是厮守在大城所古城的普通百姓，都始终如一地遵循着这种精神。在抓学生德育过程中，结合本镇实际：一是积极传承、与时俱进。不断通过形式多样、内容丰富多彩的学习活动，组织学生了解、学习、传承大城所先贤“爱国进取、拼搏奋发”的“所城”精神。二是以人为本、以德树人。结合省级非遗大城所古城端午游旱龙活动为契机，用大城所先贤精神教育学生，确立正确人生观，积极开展社会主义核心价值观、“旱龙精神”教育活动，坚持每周“升国旗、唱国歌”。镇团委、学校团支部、少先队大队部经常开展“爱我祖国、爱我家乡、爱我校园”活动，激发学生爱祖国、爱家乡、爱校园的情怀，培养学生形成良好的道德品质，做诚实守信、守法明理、会学好问的好学生。三是劳学结合、培劳意识。结合农事，主动争取家长支持，学校组织学生利用双休日回家参加农事活动，培养学生劳动为美、劳动光荣的意识；定期组织学生到农园、养殖场参观学习，培养学生劳动创造财富、勤劳致富的意识，树立为所城发展添砖加瓦的思想。四是综合治理、增强观念。为了有效预防青少年违法犯罪，中小学校都聘请了一名法制副校长，每学期为师生上法制课。每学期请干警到校宣讲交通安全知识，并通过组织图片展和发放宣传手册等方式增强师生的法制意识和交通安全意识。同时加强与公安等部门的联系，净化校园治安环境，加强镇村文化市场的管理，营造良好的教育环境。五是倡导文明、乐于助人。所城中学本着“服务他人，奉献社会”的宗旨，结合上级开展“创文”、“治六乱”和精准扶贫的契机，紧密围绕“弘扬雷锋精神、促进校园和谐”活动主题，开展了一系列志愿服务活动，各项活动取得了良好的社会效应，同时通过志愿服务活动营造良好社会氛围，培养家长学生乐于奉献的精神，倡导文明新风尚，为促进镇村社会风气根本好转起到积极推动作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通过以上措施，收到了良好效果，全镇中小学都形成了良好的校风、教风、学风，多年来学生违法犯罪率为零，德育考核优良率达到小学100%，中学100%，后进生转化率达到小学80%，中学100%。</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lang w:val="en-US" w:eastAsia="zh-CN"/>
        </w:rPr>
        <w:t>2.加强教学管理，提高教学质量。近年来，我镇坚持“办好每一所学校，教好每一个学生”的理念，全面推行新课程改革，严格落实课程计划，开足开齐各科课程，狠抓常规教学工作，加强教学管理，全面推广课改经验，努力培养学生的自主、合作、探究精神，稳步提高教育教学质量。</w:t>
      </w:r>
      <w:r>
        <w:rPr>
          <w:rFonts w:hint="eastAsia" w:ascii="仿宋_GB2312" w:hAnsi="仿宋_GB2312" w:eastAsia="仿宋_GB2312" w:cs="仿宋_GB2312"/>
          <w:sz w:val="32"/>
          <w:szCs w:val="32"/>
          <w:u w:val="none"/>
          <w:lang w:val="en-US" w:eastAsia="zh-CN"/>
        </w:rPr>
        <w:t>其中，镇中心小学狠抓各项德育工作，领导深入课堂听课，定期开展教学检查，同时重视教研工作，不断提升教学质量。2016年，镇中心小学承担县的评改、评题工作，并顺利完成结题，通过验收。慈云中学成立中考备考领导小组，在各学科中建立一套“中考复习作战方法”的体系，效果显著，近年来中考学生成绩列全县前茅。</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近三年，全镇中小学生共有72人次获市县的现场作文、讲故事和各学科知识等多项竞赛奖励。其中，2016年所城中学杨畅同学参加县作文选拨赛、第八届“星河杯”作文比赛分别获一等奖、三等奖，2016年镇中心小学杨颜倚同学参加市作文竞赛获二等奖，2015年宏北小学杨乐霓同学参加市作文竞赛获三等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抓好第二课堂，培养学生特长。在抓好教育教学质量的同时，我镇中小学校积极开展第二课堂活动，丰富学生课余生活，挖掘学生潜力，培养学生个性特长，提高学生的综合素质。在中小学校设置了舞蹈、声乐、器乐、美术、书法、田径等十多种兴趣小组，以重大节日为契机，开展内容丰富的文体活动，特别是所城中学根据乡土特色，设置了潮州大锣鼓和太极剑等课外兴趣班。每年均举行学校田径运动会和各种球类比赛，组织参加县中小学生田径运动会，为体育特长生提供展示平台，不断提高学生的体育竞技水平，提高学生的身体素质。2015年小学学生体育课考核合格率为100%，体质健康标准合格率为100%，优秀率为100%；中学生体育课考核合格率为100%，体质健康标准合格率为100%，优秀率为80%；中小学生近视眼新发病率在5%以下。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近三年，全镇中小学生共有81人次获市县体育运动、美文朗读、艺术节歌唱和美术书法等多项文体类竞赛奖励。其中，2016年镇中心小学陈梓炫同学参加县书画现场赛获一等奖。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（四）统筹发展教育，完善教育体系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我镇在巩固提高义务教育水平的同时，统筹发展学前教育、成人教育，活跃社区文化，初步构建了学前教育、基础教育、成人教育和社区教育协调发展的国民教育体系。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1.大力发展学前教育。近年来，我镇高度重视学前教育，不断加大投入，完善设备实施建设，提高办园条件。加大力度开展幼儿师资培训，提高幼师素质，提高办园质量。近三年，适龄幼儿入园率达99%。</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大力加强成人教育，促进农村经济发展。成人校的发展是统筹城乡、提高农民素质、增加农民收入、建设新农村的重要途径。我镇立足海渔养殖业、加工业之镇的实际，并同当前我镇开展城乡党员结对帮扶、新农村建设模范党员活动结合起来，因地制宜，利用多种途径、多层次、多渠道、多形式地开展农民实用技术培训和农村富余劳动力的职业技能培训。近三年来，共培训劳动力3000人次，年培训面达90%以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广泛开展社区教育，丰富群众文化生活。近年来,我镇针对不同人群的需求,积极开展丰富多彩的群众性文化活动,不断提高群众的文化素养,促进学习型社会形成。一是积极开展青少年校外教育活动。利用寒暑假举办图片展览、读书活动及各类竞赛,组织青少年参加各种有益身心健康的活动和社会实践活动。二是开展村民文化活动。在镇文化站的指导下,各村组织村民开展喜闻乐见、形式多样的文艺活动。各村（社区）定期组织篮球比赛、猜灯谜和送戏下乡等活动，积极活跃群众业余生活，深受群众喜爱和好评。积极发挥各村（社区）“农家书屋”图书藏量的作用，鼓励村民闲暇时间看书学习或借书阅读，使群众从书中了解党和国家富民政策、农业技术技能和经营管理等知识，进一步培养了村民的阅读习惯，使爱书、惜书成为群众的自觉行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四、存在问题与努力方向</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近三年来，在上级领导的关心和帮助下，在教育主管部门的配合和支持下，在全镇人民的共同努力下，通过创建教育强镇，我镇教育事业发生了巨大的变化，教育综合实力得到大幅度提升，全镇教育呈现出蓬勃发展的大好局面。但对比发达地区的现代化教育水平，对照我镇经济社会发展的目标，我镇教育发展还存在着一定差距。今后，我们将进一步解放思想，开拓创新，抓住重点，加快发展，全面提高教育教学水平。</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进一步加大对教育投入，不断优化办学条件，完善学校基础建设，提高教师的福利待遇，巩固和发展创强成果，提高教育现代化和信息化水平，为学校的未来发展提供保障。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进一步加大师资队伍建设，坚持走科研促教，科研兴校的道路，积极提升教学科研水平，着力打造一支骨干教师团队，创造良好的质量效益和办学特色，打造所城教育科研特色，为全面提高教育教学质量提供有力的人才保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进一步推进素质教育，大力开展第二课堂活动，发展学生个性特长，培养学生的创新意识和创新能力，为特长生提供和创造展示才艺的舞台。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五、自评结果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对照《广东省教育强镇督导验收复评方案》各项指标，我们认真细致地进行了自查自评，自评结果如下：政府责任67 分，教育管理22分，办学水平9分，自评分合计98分，占总分值的98 %，必达指标全部达到要求，符合广东省教育强镇复评的标准，特向广东省人民政府教育督导室申报广东省教育强镇复评，恳请予以督导验收。 </w:t>
      </w: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隶书简体">
    <w:altName w:val="宋体"/>
    <w:panose1 w:val="00000000000000000000"/>
    <w:charset w:val="86"/>
    <w:family w:val="auto"/>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Segoe UI">
    <w:panose1 w:val="020B0502040204020203"/>
    <w:charset w:val="00"/>
    <w:family w:val="auto"/>
    <w:pitch w:val="default"/>
    <w:sig w:usb0="E10022FF" w:usb1="C000E47F" w:usb2="00000029" w:usb3="00000000" w:csb0="200001DF" w:csb1="2000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Theme="minorEastAsia"/>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8201A0"/>
    <w:rsid w:val="09BD6FCF"/>
    <w:rsid w:val="09D61E32"/>
    <w:rsid w:val="0CC866AD"/>
    <w:rsid w:val="0D982E72"/>
    <w:rsid w:val="109C3657"/>
    <w:rsid w:val="10E02CA8"/>
    <w:rsid w:val="14366285"/>
    <w:rsid w:val="2E217B4E"/>
    <w:rsid w:val="2E8201A0"/>
    <w:rsid w:val="374917C0"/>
    <w:rsid w:val="381C70D8"/>
    <w:rsid w:val="44132B44"/>
    <w:rsid w:val="5038013A"/>
    <w:rsid w:val="60A500EA"/>
    <w:rsid w:val="6B5E4D27"/>
    <w:rsid w:val="6FC77692"/>
    <w:rsid w:val="79A920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2017-07-27T01:31:00Z</dcterms:created>
  <dc:creator>Administrator</dc:creator>
  <cp:lastModifiedBy>Administrator</cp:lastModifiedBy>
  <cp:lastPrinted>2017-08-14T01:28:01Z</cp:lastPrinted>
  <dcterms:modified xsi:type="dcterms:W3CDTF">2017-08-14T01:39:29Z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