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78" w:firstLine="357"/>
        <w:jc w:val="center"/>
        <w:rPr>
          <w:rFonts w:hint="eastAsia" w:asciiTheme="minorEastAsia" w:hAnsiTheme="minorEastAsia" w:eastAsiaTheme="minorEastAsia" w:cstheme="minorEastAsia"/>
          <w:b/>
          <w:bCs/>
          <w:sz w:val="48"/>
          <w:szCs w:val="48"/>
        </w:rPr>
      </w:pPr>
      <w:r>
        <w:rPr>
          <w:rFonts w:hint="eastAsia" w:asciiTheme="minorEastAsia" w:hAnsiTheme="minorEastAsia" w:eastAsiaTheme="minorEastAsia" w:cstheme="minorEastAsia"/>
          <w:b/>
          <w:sz w:val="48"/>
          <w:szCs w:val="48"/>
        </w:rPr>
        <w:t>潮州市饶平县大埕镇</w:t>
      </w:r>
      <w:r>
        <w:rPr>
          <w:rFonts w:hint="eastAsia" w:asciiTheme="minorEastAsia" w:hAnsiTheme="minorEastAsia" w:eastAsiaTheme="minorEastAsia" w:cstheme="minorEastAsia"/>
          <w:b/>
          <w:bCs/>
          <w:sz w:val="48"/>
          <w:szCs w:val="48"/>
        </w:rPr>
        <w:t>申报广东省</w:t>
      </w:r>
    </w:p>
    <w:p>
      <w:pPr>
        <w:ind w:left="-178" w:firstLine="357"/>
        <w:jc w:val="center"/>
        <w:rPr>
          <w:rFonts w:hint="eastAsia" w:asciiTheme="minorEastAsia" w:hAnsiTheme="minorEastAsia" w:eastAsiaTheme="minorEastAsia" w:cstheme="minorEastAsia"/>
          <w:sz w:val="48"/>
          <w:szCs w:val="48"/>
        </w:rPr>
      </w:pPr>
      <w:r>
        <w:rPr>
          <w:rFonts w:hint="eastAsia" w:asciiTheme="minorEastAsia" w:hAnsiTheme="minorEastAsia" w:eastAsiaTheme="minorEastAsia" w:cstheme="minorEastAsia"/>
          <w:b/>
          <w:bCs/>
          <w:sz w:val="48"/>
          <w:szCs w:val="48"/>
        </w:rPr>
        <w:t>教育强镇督导验收</w:t>
      </w:r>
    </w:p>
    <w:p>
      <w:pPr>
        <w:ind w:left="-178" w:firstLine="237"/>
        <w:jc w:val="center"/>
        <w:rPr>
          <w:rFonts w:hint="eastAsia" w:asciiTheme="minorEastAsia" w:hAnsiTheme="minorEastAsia" w:eastAsiaTheme="minorEastAsia" w:cstheme="minorEastAsia"/>
          <w:sz w:val="32"/>
          <w:szCs w:val="32"/>
        </w:rPr>
      </w:pPr>
    </w:p>
    <w:p>
      <w:pPr>
        <w:ind w:left="-178" w:firstLine="622"/>
        <w:jc w:val="center"/>
        <w:rPr>
          <w:rFonts w:hint="eastAsia" w:asciiTheme="minorEastAsia" w:hAnsiTheme="minorEastAsia" w:eastAsiaTheme="minorEastAsia" w:cstheme="minorEastAsia"/>
          <w:sz w:val="84"/>
          <w:szCs w:val="84"/>
        </w:rPr>
      </w:pPr>
    </w:p>
    <w:p>
      <w:pPr>
        <w:ind w:left="-178" w:firstLine="622"/>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自</w:t>
      </w:r>
    </w:p>
    <w:p>
      <w:pPr>
        <w:ind w:left="-178" w:firstLine="622"/>
        <w:jc w:val="center"/>
        <w:rPr>
          <w:rFonts w:hint="eastAsia" w:asciiTheme="minorEastAsia" w:hAnsiTheme="minorEastAsia" w:eastAsiaTheme="minorEastAsia" w:cstheme="minorEastAsia"/>
          <w:sz w:val="84"/>
          <w:szCs w:val="84"/>
        </w:rPr>
      </w:pPr>
    </w:p>
    <w:p>
      <w:pPr>
        <w:ind w:left="-178" w:firstLine="622"/>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评</w:t>
      </w:r>
    </w:p>
    <w:p>
      <w:pPr>
        <w:ind w:left="-178" w:firstLine="622"/>
        <w:jc w:val="center"/>
        <w:rPr>
          <w:rFonts w:hint="eastAsia" w:asciiTheme="minorEastAsia" w:hAnsiTheme="minorEastAsia" w:eastAsiaTheme="minorEastAsia" w:cstheme="minorEastAsia"/>
          <w:sz w:val="84"/>
          <w:szCs w:val="84"/>
        </w:rPr>
      </w:pPr>
    </w:p>
    <w:p>
      <w:pPr>
        <w:ind w:left="-178" w:firstLine="622"/>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报</w:t>
      </w:r>
    </w:p>
    <w:p>
      <w:pPr>
        <w:ind w:left="-178" w:firstLine="622"/>
        <w:jc w:val="center"/>
        <w:rPr>
          <w:rFonts w:hint="eastAsia" w:asciiTheme="minorEastAsia" w:hAnsiTheme="minorEastAsia" w:eastAsiaTheme="minorEastAsia" w:cstheme="minorEastAsia"/>
          <w:sz w:val="84"/>
          <w:szCs w:val="84"/>
        </w:rPr>
      </w:pPr>
    </w:p>
    <w:p>
      <w:pPr>
        <w:ind w:left="-178" w:firstLine="622"/>
        <w:jc w:val="center"/>
        <w:rPr>
          <w:rFonts w:hint="eastAsia" w:asciiTheme="minorEastAsia" w:hAnsiTheme="minorEastAsia" w:eastAsiaTheme="minorEastAsia" w:cstheme="minorEastAsia"/>
          <w:sz w:val="84"/>
          <w:szCs w:val="84"/>
        </w:rPr>
      </w:pPr>
      <w:r>
        <w:rPr>
          <w:rFonts w:hint="eastAsia" w:asciiTheme="minorEastAsia" w:hAnsiTheme="minorEastAsia" w:eastAsiaTheme="minorEastAsia" w:cstheme="minorEastAsia"/>
          <w:sz w:val="84"/>
          <w:szCs w:val="84"/>
        </w:rPr>
        <w:t>告</w:t>
      </w:r>
    </w:p>
    <w:p>
      <w:pPr>
        <w:jc w:val="both"/>
        <w:rPr>
          <w:rFonts w:hint="eastAsia" w:asciiTheme="minorEastAsia" w:hAnsiTheme="minorEastAsia" w:eastAsiaTheme="minorEastAsia" w:cstheme="minorEastAsia"/>
          <w:b/>
          <w:sz w:val="36"/>
          <w:szCs w:val="36"/>
        </w:rPr>
      </w:pPr>
    </w:p>
    <w:p>
      <w:pPr>
        <w:jc w:val="center"/>
        <w:rPr>
          <w:rFonts w:hint="eastAsia" w:asciiTheme="minorEastAsia" w:hAnsiTheme="minorEastAsia" w:eastAsiaTheme="minorEastAsia" w:cstheme="minorEastAsia"/>
          <w:b/>
          <w:sz w:val="36"/>
          <w:szCs w:val="36"/>
        </w:rPr>
      </w:pP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潮州市饶平县大埕镇人民政府</w:t>
      </w: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2017年11月</w:t>
      </w:r>
    </w:p>
    <w:p>
      <w:pPr>
        <w:jc w:val="both"/>
        <w:rPr>
          <w:rFonts w:hint="eastAsia" w:asciiTheme="minorEastAsia" w:hAnsiTheme="minorEastAsia" w:eastAsiaTheme="minorEastAsia" w:cstheme="minorEastAsia"/>
          <w:sz w:val="44"/>
          <w:szCs w:val="44"/>
        </w:rPr>
      </w:pPr>
    </w:p>
    <w:p>
      <w:pPr>
        <w:jc w:val="center"/>
        <w:rPr>
          <w:rFonts w:hint="eastAsia" w:asciiTheme="majorEastAsia" w:hAnsiTheme="majorEastAsia" w:eastAsiaTheme="majorEastAsia" w:cstheme="majorEastAsia"/>
          <w:sz w:val="44"/>
          <w:szCs w:val="44"/>
        </w:rPr>
      </w:pPr>
    </w:p>
    <w:p>
      <w:pPr>
        <w:jc w:val="center"/>
        <w:rPr>
          <w:rFonts w:hint="eastAsia" w:asciiTheme="majorEastAsia" w:hAnsiTheme="majorEastAsia" w:eastAsiaTheme="majorEastAsia" w:cstheme="majorEastAsia"/>
          <w:sz w:val="44"/>
          <w:szCs w:val="44"/>
        </w:rPr>
      </w:pPr>
    </w:p>
    <w:p>
      <w:pPr>
        <w:jc w:val="center"/>
        <w:rPr>
          <w:rFonts w:hint="eastAsia" w:asciiTheme="majorEastAsia" w:hAnsiTheme="majorEastAsia" w:eastAsiaTheme="majorEastAsia" w:cstheme="majorEastAsia"/>
          <w:sz w:val="44"/>
          <w:szCs w:val="44"/>
        </w:rPr>
      </w:pPr>
      <w:bookmarkStart w:id="0" w:name="_GoBack"/>
      <w:bookmarkEnd w:id="0"/>
      <w:r>
        <w:rPr>
          <w:rFonts w:hint="eastAsia" w:asciiTheme="majorEastAsia" w:hAnsiTheme="majorEastAsia" w:eastAsiaTheme="majorEastAsia" w:cstheme="majorEastAsia"/>
          <w:sz w:val="44"/>
          <w:szCs w:val="44"/>
        </w:rPr>
        <w:t>真抓实干，争创教育强镇</w:t>
      </w:r>
    </w:p>
    <w:p>
      <w:pPr>
        <w:ind w:left="-178" w:firstLine="237"/>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——潮州市饶平县大埕镇申报广东省教育强镇复评自评报告</w:t>
      </w:r>
    </w:p>
    <w:p>
      <w:pPr>
        <w:ind w:left="-178" w:firstLine="111"/>
        <w:jc w:val="center"/>
        <w:rPr>
          <w:rFonts w:hint="eastAsia" w:ascii="仿宋_GB2312" w:hAnsi="仿宋_GB2312" w:eastAsia="仿宋_GB2312" w:cs="仿宋_GB2312"/>
          <w:sz w:val="32"/>
          <w:szCs w:val="32"/>
        </w:rPr>
      </w:pPr>
    </w:p>
    <w:p>
      <w:pPr>
        <w:ind w:left="-178" w:firstLine="155"/>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178"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发展经济，教育先行”这是大埕镇党委、政府及全镇人民达到的共识。近年来，大埕镇党委政府认真贯彻落实县委、县政府“科教兴县”的战略部署，把教育工作纳入全镇经济社会发展总体规划，夯实教育发展基础，切实推动大埕镇教育事业健康发展。2017年大埕镇党委政府将创建教育强镇复评作为今年的一项重点工作后，加强领导，加大投入，真抓实干，务求实效，形成了优先发展教育，争创教育强镇的共识和合力，取得了显著成绩。现将我镇创建教育强镇复评的自评情况报告如下：</w:t>
      </w:r>
    </w:p>
    <w:p>
      <w:pPr>
        <w:keepNext w:val="0"/>
        <w:keepLines w:val="0"/>
        <w:pageBreakBefore w:val="0"/>
        <w:widowControl w:val="0"/>
        <w:numPr>
          <w:ilvl w:val="0"/>
          <w:numId w:val="1"/>
        </w:numPr>
        <w:tabs>
          <w:tab w:val="left" w:pos="1350"/>
        </w:tabs>
        <w:kinsoku/>
        <w:wordWrap/>
        <w:overflowPunct/>
        <w:topLinePunct w:val="0"/>
        <w:autoSpaceDE/>
        <w:autoSpaceDN/>
        <w:bidi w:val="0"/>
        <w:adjustRightInd/>
        <w:snapToGrid/>
        <w:spacing w:line="360" w:lineRule="auto"/>
        <w:ind w:left="1350" w:right="0" w:rightChars="0" w:hanging="720"/>
        <w:textAlignment w:val="auto"/>
        <w:outlineLvl w:val="9"/>
        <w:rPr>
          <w:rFonts w:hint="eastAsia" w:ascii="仿宋" w:hAnsi="仿宋" w:eastAsia="仿宋" w:cs="仿宋"/>
          <w:b/>
          <w:sz w:val="32"/>
          <w:szCs w:val="32"/>
        </w:rPr>
      </w:pPr>
      <w:r>
        <w:rPr>
          <w:rFonts w:hint="eastAsia" w:ascii="仿宋" w:hAnsi="仿宋" w:eastAsia="仿宋" w:cs="仿宋"/>
          <w:b/>
          <w:sz w:val="32"/>
          <w:szCs w:val="32"/>
        </w:rPr>
        <w:t>基本概况</w:t>
      </w:r>
    </w:p>
    <w:p>
      <w:pPr>
        <w:keepNext w:val="0"/>
        <w:keepLines w:val="0"/>
        <w:pageBreakBefore w:val="0"/>
        <w:widowControl w:val="0"/>
        <w:tabs>
          <w:tab w:val="left" w:pos="1800"/>
        </w:tabs>
        <w:kinsoku/>
        <w:wordWrap/>
        <w:overflowPunct/>
        <w:topLinePunct w:val="0"/>
        <w:autoSpaceDE/>
        <w:autoSpaceDN/>
        <w:bidi w:val="0"/>
        <w:adjustRightInd/>
        <w:snapToGrid/>
        <w:spacing w:line="360" w:lineRule="auto"/>
        <w:ind w:left="-178" w:right="0" w:rightChars="0" w:firstLine="717"/>
        <w:textAlignment w:val="auto"/>
        <w:outlineLvl w:val="9"/>
        <w:rPr>
          <w:rFonts w:hint="eastAsia" w:ascii="仿宋" w:hAnsi="仿宋" w:eastAsia="仿宋" w:cs="仿宋"/>
          <w:sz w:val="32"/>
          <w:szCs w:val="32"/>
        </w:rPr>
      </w:pPr>
      <w:r>
        <w:rPr>
          <w:rFonts w:hint="eastAsia" w:ascii="仿宋" w:hAnsi="仿宋" w:eastAsia="仿宋" w:cs="仿宋"/>
          <w:sz w:val="32"/>
          <w:szCs w:val="32"/>
        </w:rPr>
        <w:t>大埕镇位于饶平县东南部，东与福建省诏安县接壤，西与所城镇相邻，北依大幕山，南濒南海，镇陆域面积31.95平方公里，耕地面积10254亩，山地面积22000亩。全镇下辖7个行政村，总人口约3.5万人。2016年，全镇实现工农业总产值2.79亿元，其中：工业产值1.76亿元，农业产值1.03亿元。税收入库598.41万元，本级财政收入607.52万元。大埕镇是位于闽粤交界处的一个沿海镇，自古以来，多文人雅士，重教兴学，形成了良好的教育教学氛围。主要有以下特点：</w:t>
      </w:r>
    </w:p>
    <w:p>
      <w:pPr>
        <w:keepNext w:val="0"/>
        <w:keepLines w:val="0"/>
        <w:pageBreakBefore w:val="0"/>
        <w:widowControl w:val="0"/>
        <w:tabs>
          <w:tab w:val="left" w:pos="1800"/>
        </w:tabs>
        <w:kinsoku/>
        <w:wordWrap/>
        <w:overflowPunct/>
        <w:topLinePunct w:val="0"/>
        <w:autoSpaceDE/>
        <w:autoSpaceDN/>
        <w:bidi w:val="0"/>
        <w:adjustRightInd/>
        <w:snapToGrid/>
        <w:spacing w:line="360" w:lineRule="auto"/>
        <w:ind w:left="-178" w:right="0" w:rightChars="0" w:firstLine="717"/>
        <w:textAlignment w:val="auto"/>
        <w:outlineLvl w:val="9"/>
        <w:rPr>
          <w:rFonts w:hint="eastAsia" w:ascii="仿宋" w:hAnsi="仿宋" w:eastAsia="仿宋" w:cs="仿宋"/>
          <w:b/>
          <w:sz w:val="32"/>
          <w:szCs w:val="32"/>
        </w:rPr>
      </w:pPr>
      <w:r>
        <w:rPr>
          <w:rFonts w:hint="eastAsia" w:ascii="仿宋" w:hAnsi="仿宋" w:eastAsia="仿宋" w:cs="仿宋"/>
          <w:b/>
          <w:sz w:val="32"/>
          <w:szCs w:val="32"/>
        </w:rPr>
        <w:t>（一）教学格局合理</w:t>
      </w:r>
    </w:p>
    <w:p>
      <w:pPr>
        <w:keepNext w:val="0"/>
        <w:keepLines w:val="0"/>
        <w:pageBreakBefore w:val="0"/>
        <w:widowControl w:val="0"/>
        <w:kinsoku/>
        <w:wordWrap/>
        <w:overflowPunct/>
        <w:topLinePunct w:val="0"/>
        <w:autoSpaceDE/>
        <w:autoSpaceDN/>
        <w:bidi w:val="0"/>
        <w:adjustRightInd/>
        <w:snapToGrid/>
        <w:spacing w:line="360" w:lineRule="auto"/>
        <w:ind w:left="-178" w:right="0" w:rightChars="0" w:firstLine="717"/>
        <w:textAlignment w:val="auto"/>
        <w:outlineLvl w:val="9"/>
        <w:rPr>
          <w:rFonts w:hint="eastAsia" w:ascii="仿宋" w:hAnsi="仿宋" w:eastAsia="仿宋" w:cs="仿宋"/>
          <w:sz w:val="32"/>
          <w:szCs w:val="32"/>
        </w:rPr>
      </w:pPr>
      <w:r>
        <w:rPr>
          <w:rFonts w:hint="eastAsia" w:ascii="仿宋" w:hAnsi="仿宋" w:eastAsia="仿宋" w:cs="仿宋"/>
          <w:sz w:val="32"/>
          <w:szCs w:val="32"/>
        </w:rPr>
        <w:t>全镇现有初级中学1所，有18个教学班，在校生765人，教职工74人，其中具备中学高级职称的教师8人，中学一级职称的教师36人，中学初级职称的教师30人；完全小学3所，非完全小学2所，共有48个教学班，在校生1704人，教职工105人（其中支教5人，顶岗实习1人），其中具备一级职称80人，二级职称23人，教员1人，顶岗实习生1人。2015大埕党委政府坚持重教兴学的原则，在各级教育部门的支持下，加大投入，给在校师生提供良好的生活工作和学习环境，留住优质教育教学资源，营造良好的教学格局。特别是2015年2月创强以后，校园绿树如荫，四季如春，环境幽雅，设备不断完善，师资力量不断增强，乐教乐学蔚然成风。学校全面贯彻教育方针，积极实施素质教育，不断加强学校内部管理，教育教学质量稳步提升，中考入重点围人数逐年增加。鸿程中学2014-2015、2015-2016、2016-2017学年度分别有17、16、14名学生考上县重点中学。2015-2016年连续二年被获县“中考质量评价先进单位”（分别全县排第五名）。鸿程中学2015-2017年连续三年被县评为“教育工作先进单位”。红花小学2015-2016年度被县评为“教育工作先进单位”，“上黄小学”2016-2017年度被县评为“教育工作先进单位”。</w:t>
      </w:r>
    </w:p>
    <w:p>
      <w:pPr>
        <w:keepNext w:val="0"/>
        <w:keepLines w:val="0"/>
        <w:pageBreakBefore w:val="0"/>
        <w:widowControl w:val="0"/>
        <w:kinsoku/>
        <w:wordWrap/>
        <w:overflowPunct/>
        <w:topLinePunct w:val="0"/>
        <w:autoSpaceDE/>
        <w:autoSpaceDN/>
        <w:bidi w:val="0"/>
        <w:adjustRightInd/>
        <w:snapToGrid/>
        <w:spacing w:line="360" w:lineRule="auto"/>
        <w:ind w:left="-178" w:right="0" w:rightChars="0" w:firstLine="717"/>
        <w:textAlignment w:val="auto"/>
        <w:outlineLvl w:val="9"/>
        <w:rPr>
          <w:rFonts w:hint="eastAsia" w:ascii="仿宋" w:hAnsi="仿宋" w:eastAsia="仿宋" w:cs="仿宋"/>
          <w:b/>
          <w:sz w:val="32"/>
          <w:szCs w:val="32"/>
        </w:rPr>
      </w:pPr>
      <w:r>
        <w:rPr>
          <w:rFonts w:hint="eastAsia" w:ascii="仿宋" w:hAnsi="仿宋" w:eastAsia="仿宋" w:cs="仿宋"/>
          <w:b/>
          <w:sz w:val="32"/>
          <w:szCs w:val="32"/>
        </w:rPr>
        <w:t>（二）人文底蕴深厚</w:t>
      </w:r>
    </w:p>
    <w:p>
      <w:pPr>
        <w:keepNext w:val="0"/>
        <w:keepLines w:val="0"/>
        <w:pageBreakBefore w:val="0"/>
        <w:widowControl w:val="0"/>
        <w:kinsoku/>
        <w:wordWrap/>
        <w:overflowPunct/>
        <w:topLinePunct w:val="0"/>
        <w:autoSpaceDE/>
        <w:autoSpaceDN/>
        <w:bidi w:val="0"/>
        <w:adjustRightInd/>
        <w:snapToGrid/>
        <w:spacing w:line="360" w:lineRule="auto"/>
        <w:ind w:left="-178" w:right="0" w:rightChars="0" w:firstLine="717"/>
        <w:textAlignment w:val="auto"/>
        <w:outlineLvl w:val="9"/>
        <w:rPr>
          <w:rFonts w:hint="eastAsia" w:ascii="仿宋" w:hAnsi="仿宋" w:eastAsia="仿宋" w:cs="仿宋"/>
          <w:sz w:val="32"/>
          <w:szCs w:val="32"/>
        </w:rPr>
      </w:pPr>
      <w:r>
        <w:rPr>
          <w:rFonts w:hint="eastAsia" w:ascii="仿宋" w:hAnsi="仿宋" w:eastAsia="仿宋" w:cs="仿宋"/>
          <w:sz w:val="32"/>
          <w:szCs w:val="32"/>
        </w:rPr>
        <w:t>大埕镇是古东里的一部分，自古以来，文人雅士辈出，明代陈天资、黄锦所提牌匾悬挂在大埕鸿程大庙内，世世代代激励着大埕人民对书法艺术的热爱，大埕镇内书法爱好者数不胜数。大埕境内，随处可见深刻有力的书法对联。大埕人民崇尚历史，热爱书法艺术，人文底蕴深厚，给塑造良好的教育氛围奠定了良好的基础。</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723" w:firstLineChars="200"/>
        <w:textAlignment w:val="auto"/>
        <w:outlineLvl w:val="9"/>
        <w:rPr>
          <w:rFonts w:hint="eastAsia" w:ascii="仿宋" w:hAnsi="仿宋" w:eastAsia="仿宋" w:cs="仿宋"/>
          <w:b/>
          <w:bCs/>
          <w:sz w:val="36"/>
          <w:szCs w:val="36"/>
        </w:rPr>
      </w:pPr>
      <w:r>
        <w:rPr>
          <w:rFonts w:hint="eastAsia" w:ascii="仿宋" w:hAnsi="仿宋" w:eastAsia="仿宋" w:cs="仿宋"/>
          <w:b/>
          <w:bCs/>
          <w:sz w:val="36"/>
          <w:szCs w:val="36"/>
        </w:rPr>
        <w:t>二、整改情况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正视存在问题，全力做好整改工作。 2015年2月通过广东省教育强镇督导验收以后，我镇根据评估组的意见和建议，高度重视整改工作，成立创强整改后续工作领导小组，制定详细整改方案并逐步落实。进一步加大对教育的投入，优化办学条件，促进各类教育均衡、协调发展；进一步加强教师队伍建设，规范办学行为，提高管理水平，提升了我镇教育的核心竞争力，全面完成了整改工作任务。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（一）不断加大投入，配足教学设备</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为进一步完善教学电教设备，镇党委、政府不断增加教育投入，按要求配足份额。我镇中心小学原有教学计算机45+1台，目前已增加安装5台，即现有教学计算机50+1台；鸿程中学即现有教学计算机50+1台。</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（二）完善基础设施，改善办学条件</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一方面，提高课室照明度，对红花小学、溪美小学等部分课室加装灯管，数量增至8条以上，提高照明度；另方面，加强校园安全建设，并加大对校园安全隐患风险源的管控力度，加强日常巡查，发现源头及时整改，确保校园安全“零事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（三）强化档案续建，完成资料保存</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积极完成各学年档案续建工作，做到内容充实详实，规范摆放，同时推进我镇学生体质健康上报工作，及时上报，确保上报率达标，并保管好上报原始资料。</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b/>
          <w:bCs/>
          <w:sz w:val="36"/>
          <w:szCs w:val="36"/>
        </w:rPr>
      </w:pPr>
      <w:r>
        <w:rPr>
          <w:rFonts w:hint="eastAsia" w:ascii="仿宋" w:hAnsi="仿宋" w:eastAsia="仿宋" w:cs="仿宋"/>
          <w:b/>
          <w:bCs/>
          <w:sz w:val="36"/>
          <w:szCs w:val="36"/>
        </w:rPr>
        <w:t>三、主要做法和成效</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自通过“广东省教育强镇”评估验收以来，我镇深入贯彻落实十八大精神，坚持以办人民满意的教育为宗旨，以深化教育改革为动力，以促进学校内涵提升为导向，以建设义务教育阶段规范化学校、创建现代化学校为契机，以提高基础教育水平为重点，以促进教育均衡发展和加强师资队伍建设为中心，认真做好各项准备工作，确保我镇顺利通过省教育强镇的复评验收。</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（一）优先发展教育，全力巩固“创强”成果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我镇党委、政府高度重视教育事业的发展，坚持把教育放在先导性、全面性、基础性的战略地位，全面贯彻《教育法》、《教师法》、《义务教育法》和《未成年人保护法》，落实《国务院关于基础教育改革和发展的决定》，加强对教育的领导，强化政府职能，全力巩固“创强”成果。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1.提高认识，落实责任。我镇历届党政班子本着“为官一任，造福一方”的责任意识和服务宗旨，把推进教育现代化建设纳入全镇经济社会发展的总体规划，摆在优先发展的战略地位。制定了教育发展的规划，指导全镇教育发展与改革工作；建立健全政府教育目标管理责任制，把教育工作完成情况作为镇村干部年度考核的主要内容；党政主要领导亲自抓教育，及时研究解决涉及教育现代化建设的重大问题，特别是财政投入、教师队伍建设等问题，纳入镇年度工作重点，切实抓好督查落实。</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2.营造氛围，尊师重教。我镇重视宣传和贯彻落实《教育法》、《教师法》，使全镇尊师重教的社会氛围更加浓厚。同时，采取有效措施，激发教师工作的积极性。镇党委、政府主要领导平时经常深入到学校，了解学校的教育教学情况及教师的工作、学习、生活情况，亲自过问教师在工作、家庭、生活中遇到的困难，努力为他们排忧解难。每逢节假日，镇领导都到学校慰问教师，每年教师节召开表彰暨慰问会，镇党委、镇政府都拨出专款慰问全镇中小学教师，表彰教育先进单位，奖励县、镇先进教师。同时镇党委、政府还积极争取校友、乡贤、华侨的支持，捐资助学东里教育促进会，个别村（社区）、学校设立了奖教奖学基金会，奖励教师和学生。近三年来，我镇共投入20万元奖励、慰问</w:t>
      </w:r>
      <w:r>
        <w:rPr>
          <w:rFonts w:hint="eastAsia" w:ascii="仿宋" w:hAnsi="仿宋" w:eastAsia="仿宋" w:cs="仿宋"/>
          <w:sz w:val="32"/>
          <w:szCs w:val="32"/>
          <w:lang w:eastAsia="zh-CN"/>
        </w:rPr>
        <w:t>教师</w:t>
      </w:r>
      <w:r>
        <w:rPr>
          <w:rFonts w:hint="eastAsia" w:ascii="仿宋" w:hAnsi="仿宋" w:eastAsia="仿宋" w:cs="仿宋"/>
          <w:sz w:val="32"/>
          <w:szCs w:val="32"/>
        </w:rPr>
        <w:t>。2015-2016学年度获东里教育促进会奖励的教师44人，学生172人，奖金共63750元，2016-2017学年度获东里教育促进会奖励的教师42人，学生173人，奖金共55650元。同时，我镇还想方设法关心教师，改善、提高教师福利待遇，组织教师进行健康体检，完善教师文体活动场所设施，增加活动经费的投入。每届县、镇党代表和人大代表中都有一定比例的教师代表，我们还积极吸收优秀的教师入党，充分发挥党员教师的先锋模范作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3.健全机制，依法治教。几年来，我镇不断加强对教育工作的领导，完善和健全相关制度，严格执行上级义务教育经费投入保障机制，按时足额拨付义务教育阶段学校的教育经费，制定校舍维修改造的实施方案，把开展扶贫助学制度化，拟定学生住校安全保障与管理办法，禁止社会车辆违规接送学生等，形成了良好的法治环境。</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（二）正视存在问题，全力做好整改工作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自广东省教育强镇督导验收后，我镇继续深入推进镇教育事业建设，进一步加大对教育的投入，优化办学条件，促进各类教育均衡、协调发展，进一步加强教师队伍建设，规范办学行为，提高管理水平，着力打造特色教育品牌，提升了我镇教育的核心竞争力，全力推进我镇教育现代化建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1.加大资金投入，改善教学条件。镇党委、政府不断增加教育投入，改善教育教学条件。三年来，累计投入445多万元（其中政府财政投入300万元，创现奖补资金113万，乡贤、老板等社会力量捐款32.7万元），对中小学电脑室进行更新换代；添置师生专用计算机137台；安装中小学电教平台22个及完善中小学的校园网建设、添置图书资料、维修校舍等，使我镇各校的办学条件得到全面改善，现代教育装备水平明显提升。</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2.优化师资队伍，全面提高育人水平。近年来，我们以制度管理人，以情感团结人，以待遇留住人，以成功激励人，努力提升全镇教师队伍的整体素质，培育了一支爱岗敬业、无私奉献的教师队伍。</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一是加强校长队伍建设。我镇注重加强学校领导班子建设，推进校长队伍知识化、年轻化、专业化。全镇共有中小学正副校长12人，其中本科学历5人，大专学历7人，中小学校长全部具有中级以上职称。我镇通过组织参加落实党的群众路线教育实践活动、“两学一做”和主题党课等教育，提高校长的政治素质，通过输送校长参加各类业务培训，提高校长的业务知识和管理水平。同时进一步健全了校长岗位责任制，落实校长任期目标责任制和工作实绩考核制度，坚持每年对校长进行考核，在制度上最大限度地激发校长的办学热情，有效地促进校长办学能力的提升。</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近几年来，中小学的办学水平和办学成效得到广泛认可，受到各级党委、政府的表彰，获得了各种荣誉，被评为市优秀教师4人次，被评为县优秀教师5人次，被评为县优秀班主任2人次。被评为市优秀校市1人次，被评为县校长2人次。</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二是努力优化教师队伍。我镇坚持把师风师德作为教师队伍建设的重点来抓，全面贯彻《中小学教师职业道德规范》，深入开展师风师德教育活动，严格要求全体教师履行岗位职责，爱岗敬业，教书育人。鼓励教师争当名教师、优秀教师、优秀班主任、教改积极分子，提高党课培训和主题党会等多项活动帮助教师树立正确的世界观、人生观、价值观，端正教育思想，增强责任感，时刻以人民教师职业道德严格要求自己。鼓励教师结合教育教学实际，积极撰写师德论文，参与研讨与评比，在活动中提高师德修养。全镇教职工遵守职业道德，无违法犯罪人员，无参加“法轮功”、“六合彩”赌博活动，无体罚或变相体罚学生现象。教师为人师表的形象得到社会和广大群众的一致赞誉。为进一步提高教师自身的专业知识水平和业务能力，我镇鼓励教师积极参加学历进修和继续教育学习，启动“名师”培训工程，鼓励教师参加名师培训，鼓励各校根据实际，举办业务讲座，认真学习现代教育理论，转变教育观念，学习现代教育技术，大力开展教师基本功比赛、优质课比赛、说课比赛，教学经验交流，论文评比等活动，号召教师参加镇组织的“日常规范五字诀”和“真善美”征文等各种比赛，对获奖的教师进行了奖励，为教师提供施展才华的平台，切实提高教师的综合素质和教育教学水平。同时，以新课程改革为依托，以培养学生的创新精神和实践能力为目标，以课堂教学改革为抓手，积极组织校本教研活动，组织有经验的教师对青年教师进行传、帮、带，使他们迅速成长起来。此外，中小学校以课程改革为中心，积极开展校本研究，走教改强校，科研强校之路，营造了浓厚的教学研究氛围，形成了科研促教的良好教风。</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近年来，我镇教师的综合素质得到明显提升，中小学有骨干教师、学科带头人8人；有35篇论文在市、县各级比赛中获奖；有12人次参加全县优质课比赛、说课比赛共获奖。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（三）实施素质教育，促进学生全面发展</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我镇在实施素质教育中，充分发挥本土资源优势，推动中小学教育教学质量的全面提高，引导学生学会做人，促进学生的全面发展。</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1.弘扬“旱龙精神”，培养美好情操。旱龙精神的特色，概括地来说就是“爱国进取、拼搏奋发”民族精神。无论是远涉重洋的“海外赤子”，还是厮守在大埕的普通百姓，都始终如一地遵循着这种精神。在抓学生德育过程中，结合本镇实际：一是积极传承、与时俱进。不断通过形式多样、内容丰富多彩的学习活动，组织学生了解、学习、传承大埕先贤“爱国进取、拼搏奋发”的“大埕”精神。二是以人为本、以德树人。用大埕先贤精神教育学生，确立正确人生观，积极开展社会主义核心价值观、教育活动，坚持每周“升国旗、唱国歌”。镇团委、学校团支部、少先队大队部经常开展“爱我祖国、爱我家乡、爱我校园”活动，激发学生爱祖国、爱家乡、爱校园的情怀，培养学生形成良好的道德品质，做诚实守信、守法明理、会学好问的好学生</w:t>
      </w:r>
      <w:r>
        <w:rPr>
          <w:rFonts w:hint="eastAsia" w:ascii="仿宋" w:hAnsi="仿宋" w:eastAsia="仿宋" w:cs="仿宋"/>
          <w:sz w:val="32"/>
          <w:szCs w:val="32"/>
          <w:lang w:eastAsia="zh-CN"/>
        </w:rPr>
        <w:t>。</w:t>
      </w:r>
      <w:r>
        <w:rPr>
          <w:rFonts w:hint="eastAsia" w:ascii="仿宋" w:hAnsi="仿宋" w:eastAsia="仿宋" w:cs="仿宋"/>
          <w:sz w:val="32"/>
          <w:szCs w:val="32"/>
        </w:rPr>
        <w:t>三是劳学结合</w:t>
      </w:r>
      <w:r>
        <w:rPr>
          <w:rFonts w:hint="eastAsia" w:ascii="仿宋" w:hAnsi="仿宋" w:eastAsia="仿宋" w:cs="仿宋"/>
          <w:sz w:val="32"/>
          <w:szCs w:val="32"/>
          <w:lang w:eastAsia="zh-CN"/>
        </w:rPr>
        <w:t>、</w:t>
      </w:r>
      <w:r>
        <w:rPr>
          <w:rFonts w:hint="eastAsia" w:ascii="仿宋" w:hAnsi="仿宋" w:eastAsia="仿宋" w:cs="仿宋"/>
          <w:sz w:val="32"/>
          <w:szCs w:val="32"/>
        </w:rPr>
        <w:t>培劳意识</w:t>
      </w:r>
      <w:r>
        <w:rPr>
          <w:rFonts w:hint="eastAsia" w:ascii="仿宋" w:hAnsi="仿宋" w:eastAsia="仿宋" w:cs="仿宋"/>
          <w:sz w:val="32"/>
          <w:szCs w:val="32"/>
          <w:lang w:eastAsia="zh-CN"/>
        </w:rPr>
        <w:t>。</w:t>
      </w:r>
      <w:r>
        <w:rPr>
          <w:rFonts w:hint="eastAsia" w:ascii="仿宋" w:hAnsi="仿宋" w:eastAsia="仿宋" w:cs="仿宋"/>
          <w:sz w:val="32"/>
          <w:szCs w:val="32"/>
        </w:rPr>
        <w:t>结合农事，主动争取家长支持，学校组织学生利用双休日回家参加农事活动，培养学生劳动为美、劳动光荣的意识；定期组织学生到农园、养殖场参观学习，培养学生劳动创造财富、勤劳致富的意识，树立为大埕发展添砖加瓦的思想。四是综合治理、增强观念。为了有效预防青少年违法犯罪，中小学校都聘请了一名法制副校长和法律顾问，每学期为师生上法制课。每学期请干警到校宣讲交通安全知识，并通过组织图片展和发放宣传手册等方式增强师生的法制意识和交通安全意识。同时加强与公安等部门的联系，净化校园治安环境，加强镇村文化市场的管理，营造良好的教育环境。五是倡导文明、乐于助人。鸿程中学本着“服务他人，奉献社会”的宗旨，结合上级开展“创文”、“治六乱”和精准扶贫的契机，紧密围绕“弘扬雷锋精神、促进校园和谐”活动主题，开展了一系列志愿服务活动，各项活动取得了良好的社会效应，同时通过志愿服务活动营造良好社会氛围，培养家长学生乐于奉献的精神，倡导文明新风尚，为促进镇村社会风气根本好转起到积极推动作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通过以上措施，收到了良好效果，全镇中小学都形成了良好的校风、教风、学风，多年来学生违法犯罪率为零，德育考核优良率达到小学100%，中学100%，后进生转化率达到小学80%，中学100%。</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u w:val="single"/>
        </w:rPr>
      </w:pPr>
      <w:r>
        <w:rPr>
          <w:rFonts w:hint="eastAsia" w:ascii="仿宋" w:hAnsi="仿宋" w:eastAsia="仿宋" w:cs="仿宋"/>
          <w:sz w:val="32"/>
          <w:szCs w:val="32"/>
        </w:rPr>
        <w:t>2.加强教学管理，提高教学质量。近年来，我镇坚持“办好每一所学校，教好每一个学生”的理念，全面推行新课程改革，严格落实课程计划，开足开齐各科课程，狠抓常规教学工作，加强教学管理，全面推广课改经验，努力培养学生的自</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主、合作、探究精神，稳步提高教育教学质量。其中，镇中心小学狠抓各项德育工作，领导深入课堂听课，定期开展教学检查，同时重视教研工作，不断提升教学质量。鸿程中学成立中考备考领导小组，在各学科中建立一套“中考复习作战方法”的体系，效果显著，近年来中考学生成绩列全县前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近三年，全镇中小学生共有65人次获市县的现场作文、讲故事和各学科知识等多项竞赛奖励。其中，2015年镇中心小学陈柏洁同学参加市作文竞赛获三等奖。2016年镇中心小学陈浣同学参加第八届“星河杯”作文比赛获三等奖，2017年镇中心小学唐炜熙同学参加市第一届“小凤凰杯”中小学书法比赛获小学组二等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3.抓好第二课堂，培养学生特长。在抓好教育教学质量的同时，我镇中小学校积极开展第二课堂活动，丰富学生课余生活，挖掘学生潜力，培养学生个性特长，提高学生的综合素质。在中小学校设置了舞蹈、声乐、器乐、美术、书法、田径等十多种兴趣小组，以重大节日为契机，开展内容丰富的文体活动，特别是红花、溪美小学根据乡土特色，设置了潮州大锣鼓和民乐等课外兴趣班。每年均举行学校田径运动会和各种球类比赛，组织参加县中小学生田径运动会，为体育特长生提供展示平台，不断提高学生的体育竞技水平，提高学生的身体素质。近三年小学学生体育课考核合格率为100%，体质健康标准合格率为100%，优秀率为100%；中学生体育课考核合格率为100%，体质健康标准合格率为100%，优秀率为80%；中小学生近视眼新发病率在5%以下。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近三年，全镇中小学生共有90人次获市县体育运动、美文朗读、艺术节歌唱和美术书法等多项文体类竞赛奖励。其中，2017年贡天学校陈昕楠同学参加潮汕“星河杯”绘画比赛获得潮汕赛区一等奖，并参加决赛。镇小学田径队2015、2016年连续两年参加县运动会获得小学组第4名，镇中学2016年获得中学组第三名。</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（四）统筹发展教育，完善教育体系</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我镇在巩固提高义务教育水平的同时，统筹发展学前教育、成人教育，活跃社区文化，初步构建了学前教育、基础教育、成人教育和社区教育协调发展的国民教育体系。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1.大力发展学前教育。近年来，我镇高度重视学前教育，不断加大投入，完善设备实施建设，提高办园条件。加大力度开展幼儿师资培训，提高幼师素质，提高办园质量。近三年，适龄幼儿入园率达99%。</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2.大力加强成人教育，促进农村经济发展。成人校的发展是统筹城乡、提高农民素质、增加农民收入、建设新农村的重要途径。我镇立足海渔养殖业、加工业之镇的实际，并同当前我镇开展城乡党员结对帮扶、新农村建设模范党员活动结合起来，因地制宜，利用多种途径、多层次、多渠道、多形式地开展农民实用技术培训和农村富余劳动力的职业技能培训。近三年来，共培训劳动力2900人次，年培训面达90%以上。</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b/>
          <w:bCs/>
          <w:sz w:val="32"/>
          <w:szCs w:val="32"/>
        </w:rPr>
      </w:pPr>
      <w:r>
        <w:rPr>
          <w:rFonts w:hint="eastAsia" w:ascii="仿宋" w:hAnsi="仿宋" w:eastAsia="仿宋" w:cs="仿宋"/>
          <w:sz w:val="32"/>
          <w:szCs w:val="32"/>
        </w:rPr>
        <w:t>3.广泛开展社区教育，丰富群众文化生活。近年来,我镇针对不同人群的需求,积极开展丰富多彩的群众性文化活动,不断提高群众的文化素养,促进学习型社会形成。一是积极开展青少</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年校外教育活动。利用寒暑假举办图片展览、读书活动及各类竞赛,组织青少年参加各种有益身心健康的活动和社会实践活动。二是开展村民文化活动。在镇文化站的指导下,各村组织村民开展喜闻乐见、形式多样的文艺活动。各村（社区）定期组织篮球比赛、猜灯谜和送戏下乡等活动，积极活跃群众业余生活，深受群众喜爱和好评。积极发挥各村（社区）“农家书屋”图书藏量的作用，鼓励村民闲暇时间看书学习或借书阅读，使群众从书中了解党和国家富民政策、农业技术技能和经营管理等知识，进一步培养了村民的阅读习惯，使爱书、惜书成为群众的</w:t>
      </w:r>
      <w:r>
        <w:rPr>
          <w:rFonts w:hint="eastAsia" w:ascii="仿宋" w:hAnsi="仿宋" w:eastAsia="仿宋" w:cs="仿宋"/>
          <w:b w:val="0"/>
          <w:bCs w:val="0"/>
          <w:sz w:val="32"/>
          <w:szCs w:val="32"/>
        </w:rPr>
        <w:t>自觉行为。</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b/>
          <w:bCs/>
          <w:sz w:val="36"/>
          <w:szCs w:val="36"/>
        </w:rPr>
      </w:pPr>
      <w:r>
        <w:rPr>
          <w:rFonts w:hint="eastAsia" w:ascii="仿宋" w:hAnsi="仿宋" w:eastAsia="仿宋" w:cs="仿宋"/>
          <w:b/>
          <w:bCs/>
          <w:sz w:val="36"/>
          <w:szCs w:val="36"/>
        </w:rPr>
        <w:t>四、存在问题与努力方向</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近三年来，在上级领导的关心和帮助下，在教育主管部门的配合和支持下，在全镇人民的共同努力下，通过创建教育强镇，我镇教育事业发生了巨大的变化，教育综合实力得到大幅度提升，全镇教育呈现出蓬勃发展的大好局面。但对比发达地区的现代化教育水平，对照我镇经济社会发展的目标，我镇教育发展还存在着一定差距。今后，我们将进一步解放思想，开拓创新，抓住重点，加快发展，全面提高教育教学水平。</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进一步加大对教育投入，不断优化办学条件，完善学校基础建设，提高教师的福利待遇，巩固和发展创强成果，提高教育现代化和信息化水平，为学校的未来发展提供保障。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进一步加大师资队伍建设，坚持走科研促教，科研兴校的道路，积极提升教学科研水平，着力打造一支骨干教师团队，创造良好的质量效益和办学特色，打造大埕教育科研特色，为</w:t>
      </w:r>
    </w:p>
    <w:p>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rPr>
      </w:pPr>
      <w:r>
        <w:rPr>
          <w:rFonts w:hint="eastAsia" w:ascii="仿宋" w:hAnsi="仿宋" w:eastAsia="仿宋" w:cs="仿宋"/>
          <w:sz w:val="32"/>
          <w:szCs w:val="32"/>
        </w:rPr>
        <w:t>全面提高教育教学质量提供有力的人才保障。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进一步推进素质教育，大力开展第二课堂活动，发展学生个性特长，培养学生的创新意识和创新能力，为特长生提供和创造展示才艺的舞台。</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b/>
          <w:bCs/>
          <w:sz w:val="36"/>
          <w:szCs w:val="36"/>
        </w:rPr>
      </w:pPr>
      <w:r>
        <w:rPr>
          <w:rFonts w:hint="eastAsia" w:ascii="仿宋" w:hAnsi="仿宋" w:eastAsia="仿宋" w:cs="仿宋"/>
          <w:b/>
          <w:bCs/>
          <w:sz w:val="36"/>
          <w:szCs w:val="36"/>
        </w:rPr>
        <w:t>五、自评结果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对照《广东省教育强镇（乡）督导验收复评方案》各项指标，我们认真细致地进行了自查自评，自评结果如下：政府责任66.6 分，教育管理与素质教育31分，自评分合计97.6分，占总分值的97.6 %，必达指标全部达到要求，符合广东省教育强镇复评的标准，特向广东省人民政府教育督导室申报广东省教育强镇复评，恳请予以督导验收。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jc w:val="center"/>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jc w:val="center"/>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jc w:val="center"/>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jc w:val="center"/>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大埕镇人民政府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jc w:val="center"/>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2017年11月25日</w:t>
      </w:r>
    </w:p>
    <w:sectPr>
      <w:headerReference r:id="rId3" w:type="default"/>
      <w:footerReference r:id="rId4" w:type="default"/>
      <w:endnotePr>
        <w:numFmt w:val="decimal"/>
      </w:endnotePr>
      <w:pgSz w:w="11906" w:h="16838"/>
      <w:pgMar w:top="1440" w:right="1519" w:bottom="1440" w:left="1519" w:header="851" w:footer="992" w:gutter="0"/>
      <w:pgNumType w:start="1"/>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CF3C52" w:usb2="00000016" w:usb3="00000000" w:csb0="0004001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imes New Roman" w:hAnsi="Times New Roman" w:eastAsia="宋体"/>
        <w:sz w:val="28"/>
        <w:szCs w:val="28"/>
      </w:rPr>
    </w:pPr>
    <w:r>
      <w:rPr>
        <w:rFonts w:eastAsia="Calibri"/>
      </w:rPr>
      <w:pict>
        <v:shape id="文本框2" o:spid="_x0000_s3073" o:spt="202" type="#_x0000_t202" style="position:absolute;left:0pt;margin-left:293.15pt;margin-top:0.05pt;height:24.15pt;width:36.1pt;mso-position-horizontal-relative:page;mso-wrap-distance-bottom:0pt;mso-wrap-distance-left:0pt;mso-wrap-distance-right:0pt;mso-wrap-distance-top:0pt;z-index:251658240;mso-width-relative:page;mso-height-relative:page;" filled="f" stroked="f" coordsize="21600,21600">
          <v:path/>
          <v:fill on="f" focussize="0,0"/>
          <v:stroke on="f" joinstyle="round"/>
          <v:imagedata o:title=""/>
          <o:lock v:ext="edit"/>
          <v:textbox inset="0mm,0mm,0mm,0mm" style="mso-fit-shape-to-text:t;">
            <w:txbxContent>
              <w:p>
                <w:pPr>
                  <w:rPr>
                    <w:rFonts w:ascii="Times New Roman" w:hAnsi="Times New Roman" w:eastAsia="宋体"/>
                    <w:szCs w:val="18"/>
                  </w:rPr>
                </w:pPr>
                <w:r>
                  <w:rPr>
                    <w:rFonts w:ascii="Times New Roman" w:hAnsi="Times New Roman" w:eastAsia="宋体"/>
                    <w:szCs w:val="18"/>
                  </w:rPr>
                  <w:fldChar w:fldCharType="begin"/>
                </w:r>
                <w:r>
                  <w:rPr>
                    <w:rFonts w:ascii="Times New Roman" w:hAnsi="Times New Roman" w:eastAsia="宋体"/>
                    <w:szCs w:val="18"/>
                  </w:rPr>
                  <w:instrText xml:space="preserve"> PAGE \* Arabic </w:instrText>
                </w:r>
                <w:r>
                  <w:rPr>
                    <w:rFonts w:ascii="Times New Roman" w:hAnsi="Times New Roman" w:eastAsia="宋体"/>
                    <w:szCs w:val="18"/>
                  </w:rPr>
                  <w:fldChar w:fldCharType="separate"/>
                </w:r>
                <w:r>
                  <w:rPr>
                    <w:rFonts w:ascii="Times New Roman" w:hAnsi="Times New Roman" w:eastAsia="宋体"/>
                    <w:szCs w:val="18"/>
                  </w:rPr>
                  <w:t>5</w:t>
                </w:r>
                <w:r>
                  <w:rPr>
                    <w:rFonts w:ascii="Times New Roman" w:hAnsi="Times New Roman" w:eastAsia="宋体"/>
                    <w:szCs w:val="18"/>
                  </w:rPr>
                  <w:fldChar w:fldCharType="end"/>
                </w: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Times New Roman" w:hAnsi="Times New Roman" w:eastAsia="宋体"/>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D0776"/>
    <w:multiLevelType w:val="multilevel"/>
    <w:tmpl w:val="43AD0776"/>
    <w:lvl w:ilvl="0" w:tentative="0">
      <w:start w:val="1"/>
      <w:numFmt w:val="japaneseCounting"/>
      <w:lvlText w:val="%1、"/>
      <w:lvlJc w:val="left"/>
      <w:pPr>
        <w:ind w:left="630" w:firstLine="0"/>
      </w:pPr>
    </w:lvl>
    <w:lvl w:ilvl="1" w:tentative="0">
      <w:start w:val="1"/>
      <w:numFmt w:val="lowerLetter"/>
      <w:lvlText w:val="%2)"/>
      <w:lvlJc w:val="left"/>
      <w:pPr>
        <w:ind w:left="1050" w:firstLine="0"/>
      </w:pPr>
    </w:lvl>
    <w:lvl w:ilvl="2" w:tentative="0">
      <w:start w:val="1"/>
      <w:numFmt w:val="lowerRoman"/>
      <w:lvlText w:val="%3."/>
      <w:lvlJc w:val="left"/>
      <w:pPr>
        <w:ind w:left="1470" w:firstLine="0"/>
      </w:pPr>
    </w:lvl>
    <w:lvl w:ilvl="3" w:tentative="0">
      <w:start w:val="1"/>
      <w:numFmt w:val="decimal"/>
      <w:lvlText w:val="%4."/>
      <w:lvlJc w:val="left"/>
      <w:pPr>
        <w:ind w:left="1890" w:firstLine="0"/>
      </w:pPr>
    </w:lvl>
    <w:lvl w:ilvl="4" w:tentative="0">
      <w:start w:val="1"/>
      <w:numFmt w:val="lowerLetter"/>
      <w:lvlText w:val="%5)"/>
      <w:lvlJc w:val="left"/>
      <w:pPr>
        <w:ind w:left="2310" w:firstLine="0"/>
      </w:pPr>
    </w:lvl>
    <w:lvl w:ilvl="5" w:tentative="0">
      <w:start w:val="1"/>
      <w:numFmt w:val="lowerRoman"/>
      <w:lvlText w:val="%6."/>
      <w:lvlJc w:val="left"/>
      <w:pPr>
        <w:ind w:left="2730" w:firstLine="0"/>
      </w:pPr>
    </w:lvl>
    <w:lvl w:ilvl="6" w:tentative="0">
      <w:start w:val="1"/>
      <w:numFmt w:val="decimal"/>
      <w:lvlText w:val="%7."/>
      <w:lvlJc w:val="left"/>
      <w:pPr>
        <w:ind w:left="3150" w:firstLine="0"/>
      </w:pPr>
    </w:lvl>
    <w:lvl w:ilvl="7" w:tentative="0">
      <w:start w:val="1"/>
      <w:numFmt w:val="lowerLetter"/>
      <w:lvlText w:val="%8)"/>
      <w:lvlJc w:val="left"/>
      <w:pPr>
        <w:ind w:left="3570" w:firstLine="0"/>
      </w:pPr>
    </w:lvl>
    <w:lvl w:ilvl="8" w:tentative="0">
      <w:start w:val="1"/>
      <w:numFmt w:val="lowerRoman"/>
      <w:lvlText w:val="%9."/>
      <w:lvlJc w:val="left"/>
      <w:pPr>
        <w:ind w:left="399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characterSpacingControl w:val="doNotCompress"/>
  <w:hdrShapeDefaults>
    <o:shapelayout v:ext="edit">
      <o:idmap v:ext="edit" data="3"/>
    </o:shapelayout>
  </w:hdrShapeDefaults>
  <w:endnotePr>
    <w:numFmt w:val="decimal"/>
  </w:endnotePr>
  <w:compat>
    <w:doNotExpandShiftReturn/>
    <w:useFELayout/>
    <w:compatSetting w:name="compatibilityMode" w:uri="http://schemas.microsoft.com/office/word" w:val="12"/>
  </w:compat>
  <w:rsids>
    <w:rsidRoot w:val="00F8463F"/>
    <w:rsid w:val="000E2515"/>
    <w:rsid w:val="001C77D3"/>
    <w:rsid w:val="00454B79"/>
    <w:rsid w:val="00573E6F"/>
    <w:rsid w:val="00577111"/>
    <w:rsid w:val="005A3580"/>
    <w:rsid w:val="00635099"/>
    <w:rsid w:val="00691281"/>
    <w:rsid w:val="00840392"/>
    <w:rsid w:val="008A59A4"/>
    <w:rsid w:val="00A3019C"/>
    <w:rsid w:val="00A8349B"/>
    <w:rsid w:val="00A900B2"/>
    <w:rsid w:val="00B5370D"/>
    <w:rsid w:val="00D74CE8"/>
    <w:rsid w:val="00DD2928"/>
    <w:rsid w:val="00F8463F"/>
    <w:rsid w:val="1BDE5BC1"/>
    <w:rsid w:val="5A885823"/>
    <w:rsid w:val="6A28487D"/>
    <w:rsid w:val="6ABB6C60"/>
    <w:rsid w:val="70015E49"/>
    <w:rsid w:val="764650AC"/>
    <w:rsid w:val="7E9507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cs="Times New Roman" w:eastAsiaTheme="minorEastAsia"/>
      <w:kern w:val="1"/>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cs="Times New Roman" w:eastAsiaTheme="minorEastAsia"/>
      <w:kern w:val="1"/>
      <w:sz w:val="18"/>
      <w:szCs w:val="24"/>
      <w:lang w:val="en-US" w:eastAsia="zh-CN" w:bidi="ar-SA"/>
    </w:rPr>
  </w:style>
  <w:style w:type="paragraph" w:customStyle="1" w:styleId="7">
    <w:name w:val="Header"/>
    <w:qFormat/>
    <w:uiPriority w:val="0"/>
    <w:pPr>
      <w:widowControl w:val="0"/>
      <w:pBdr>
        <w:top w:val="none" w:color="000000" w:sz="0" w:space="1"/>
        <w:left w:val="none" w:color="000000" w:sz="0" w:space="4"/>
        <w:bottom w:val="none" w:color="000000" w:sz="0" w:space="1"/>
        <w:right w:val="none" w:color="000000" w:sz="0" w:space="4"/>
        <w:between w:val="none" w:color="000000" w:sz="0" w:space="0"/>
      </w:pBdr>
      <w:tabs>
        <w:tab w:val="center" w:pos="4153"/>
        <w:tab w:val="right" w:pos="8306"/>
      </w:tabs>
      <w:jc w:val="both"/>
    </w:pPr>
    <w:rPr>
      <w:rFonts w:ascii="Calibri" w:hAnsi="Calibri" w:cs="Times New Roman" w:eastAsiaTheme="minorEastAsia"/>
      <w:kern w:val="1"/>
      <w:sz w:val="18"/>
      <w:szCs w:val="24"/>
      <w:lang w:val="en-US" w:eastAsia="zh-CN" w:bidi="ar-SA"/>
    </w:rPr>
  </w:style>
  <w:style w:type="paragraph" w:customStyle="1" w:styleId="8">
    <w:name w:val="p0"/>
    <w:qFormat/>
    <w:uiPriority w:val="0"/>
    <w:pPr>
      <w:pBdr>
        <w:top w:val="none" w:color="000000" w:sz="0" w:space="3"/>
        <w:left w:val="none" w:color="000000" w:sz="0" w:space="3"/>
        <w:bottom w:val="none" w:color="000000" w:sz="0" w:space="3"/>
        <w:right w:val="none" w:color="000000" w:sz="0" w:space="3"/>
        <w:between w:val="none" w:color="000000" w:sz="0" w:space="0"/>
      </w:pBdr>
      <w:jc w:val="both"/>
    </w:pPr>
    <w:rPr>
      <w:rFonts w:ascii="Calibri" w:hAnsi="Calibri" w:cs="Times New Roman" w:eastAsiaTheme="minorEastAsia"/>
      <w:kern w:val="1"/>
      <w:sz w:val="21"/>
      <w:szCs w:val="21"/>
      <w:lang w:val="en-US" w:eastAsia="zh-CN" w:bidi="ar-SA"/>
    </w:rPr>
  </w:style>
  <w:style w:type="character" w:customStyle="1" w:styleId="9">
    <w:name w:val="页眉 Char"/>
    <w:basedOn w:val="4"/>
    <w:link w:val="3"/>
    <w:semiHidden/>
    <w:qFormat/>
    <w:uiPriority w:val="99"/>
    <w:rPr>
      <w:sz w:val="18"/>
      <w:szCs w:val="18"/>
    </w:rPr>
  </w:style>
  <w:style w:type="character" w:customStyle="1" w:styleId="10">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DAE102-0DBF-4D31-AA01-2206EC88ECA6}">
  <ds:schemaRefs/>
</ds:datastoreItem>
</file>

<file path=docProps/app.xml><?xml version="1.0" encoding="utf-8"?>
<Properties xmlns="http://schemas.openxmlformats.org/officeDocument/2006/extended-properties" xmlns:vt="http://schemas.openxmlformats.org/officeDocument/2006/docPropsVTypes">
  <Template>Normal</Template>
  <Pages>14</Pages>
  <Words>1161</Words>
  <Characters>6618</Characters>
  <Lines>55</Lines>
  <Paragraphs>15</Paragraphs>
  <ScaleCrop>false</ScaleCrop>
  <LinksUpToDate>false</LinksUpToDate>
  <CharactersWithSpaces>7764</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2017-07-27T01:31:00Z</dcterms:created>
  <dc:creator>Administrator</dc:creator>
  <cp:lastModifiedBy>john</cp:lastModifiedBy>
  <cp:lastPrinted>2017-12-05T01:10:00Z</cp:lastPrinted>
  <dcterms:modified xsi:type="dcterms:W3CDTF">2018-04-13T15:32:12Z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