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潮州市饶平县</w:t>
      </w:r>
      <w:r>
        <w:rPr>
          <w:rFonts w:hint="eastAsia" w:ascii="宋体" w:hAnsi="宋体" w:eastAsia="宋体" w:cs="宋体"/>
          <w:b/>
          <w:color w:val="000000"/>
          <w:sz w:val="44"/>
          <w:szCs w:val="44"/>
          <w:lang w:val="en-US" w:eastAsia="zh-CN"/>
        </w:rPr>
        <w:t>上饶</w:t>
      </w:r>
      <w:r>
        <w:rPr>
          <w:rFonts w:hint="eastAsia" w:ascii="宋体" w:hAnsi="宋体" w:eastAsia="宋体" w:cs="宋体"/>
          <w:b/>
          <w:color w:val="000000"/>
          <w:sz w:val="44"/>
          <w:szCs w:val="44"/>
        </w:rPr>
        <w:t>镇申报广东省</w:t>
      </w:r>
    </w:p>
    <w:p>
      <w:pPr>
        <w:jc w:val="center"/>
        <w:rPr>
          <w:rFonts w:hint="eastAsia" w:ascii="宋体" w:hAnsi="宋体" w:eastAsia="宋体" w:cs="宋体"/>
          <w:b/>
          <w:color w:val="000000"/>
          <w:sz w:val="36"/>
          <w:szCs w:val="36"/>
        </w:rPr>
      </w:pPr>
      <w:r>
        <w:rPr>
          <w:rFonts w:hint="eastAsia" w:ascii="宋体" w:hAnsi="宋体" w:eastAsia="宋体" w:cs="宋体"/>
          <w:b/>
          <w:color w:val="000000"/>
          <w:sz w:val="44"/>
          <w:szCs w:val="44"/>
        </w:rPr>
        <w:t>教育</w:t>
      </w:r>
      <w:bookmarkStart w:id="0" w:name="_GoBack"/>
      <w:bookmarkEnd w:id="0"/>
      <w:r>
        <w:rPr>
          <w:rFonts w:hint="eastAsia" w:ascii="宋体" w:hAnsi="宋体" w:eastAsia="宋体" w:cs="宋体"/>
          <w:b/>
          <w:color w:val="000000"/>
          <w:sz w:val="44"/>
          <w:szCs w:val="44"/>
        </w:rPr>
        <w:t>强镇复评验收</w:t>
      </w:r>
    </w:p>
    <w:p>
      <w:pPr>
        <w:rPr>
          <w:rFonts w:hint="eastAsia" w:ascii="宋体" w:hAnsi="宋体" w:eastAsia="宋体" w:cs="宋体"/>
          <w:b/>
          <w:color w:val="000000"/>
          <w:sz w:val="36"/>
          <w:szCs w:val="36"/>
        </w:rPr>
      </w:pPr>
    </w:p>
    <w:p>
      <w:pPr>
        <w:jc w:val="center"/>
        <w:rPr>
          <w:rFonts w:hint="eastAsia" w:ascii="宋体" w:hAnsi="宋体" w:eastAsia="宋体" w:cs="宋体"/>
          <w:b/>
          <w:color w:val="000000"/>
          <w:sz w:val="72"/>
          <w:szCs w:val="72"/>
        </w:rPr>
      </w:pPr>
      <w:r>
        <w:rPr>
          <w:rFonts w:hint="eastAsia" w:ascii="宋体" w:hAnsi="宋体" w:eastAsia="宋体" w:cs="宋体"/>
          <w:b/>
          <w:color w:val="000000"/>
          <w:sz w:val="72"/>
          <w:szCs w:val="72"/>
        </w:rPr>
        <w:t>实</w:t>
      </w:r>
    </w:p>
    <w:p>
      <w:pPr>
        <w:ind w:firstLine="8659" w:firstLineChars="1198"/>
        <w:jc w:val="both"/>
        <w:rPr>
          <w:rFonts w:hint="eastAsia" w:ascii="宋体" w:hAnsi="宋体" w:eastAsia="宋体" w:cs="宋体"/>
          <w:b/>
          <w:color w:val="000000"/>
          <w:sz w:val="72"/>
          <w:szCs w:val="72"/>
        </w:rPr>
      </w:pPr>
    </w:p>
    <w:p>
      <w:pPr>
        <w:jc w:val="center"/>
        <w:rPr>
          <w:rFonts w:hint="eastAsia" w:ascii="宋体" w:hAnsi="宋体" w:eastAsia="宋体" w:cs="宋体"/>
          <w:b/>
          <w:color w:val="000000"/>
          <w:sz w:val="72"/>
          <w:szCs w:val="72"/>
        </w:rPr>
      </w:pPr>
      <w:r>
        <w:rPr>
          <w:rFonts w:hint="eastAsia" w:ascii="宋体" w:hAnsi="宋体" w:eastAsia="宋体" w:cs="宋体"/>
          <w:b/>
          <w:color w:val="000000"/>
          <w:sz w:val="72"/>
          <w:szCs w:val="72"/>
        </w:rPr>
        <w:t>施</w:t>
      </w:r>
    </w:p>
    <w:p>
      <w:pPr>
        <w:ind w:firstLine="8659" w:firstLineChars="1198"/>
        <w:jc w:val="center"/>
        <w:rPr>
          <w:rFonts w:hint="eastAsia" w:ascii="宋体" w:hAnsi="宋体" w:eastAsia="宋体" w:cs="宋体"/>
          <w:b/>
          <w:color w:val="000000"/>
          <w:sz w:val="72"/>
          <w:szCs w:val="72"/>
        </w:rPr>
      </w:pPr>
    </w:p>
    <w:p>
      <w:pPr>
        <w:jc w:val="center"/>
        <w:rPr>
          <w:rFonts w:hint="eastAsia" w:ascii="宋体" w:hAnsi="宋体" w:eastAsia="宋体" w:cs="宋体"/>
          <w:b/>
          <w:color w:val="000000"/>
          <w:sz w:val="72"/>
          <w:szCs w:val="72"/>
        </w:rPr>
      </w:pPr>
      <w:r>
        <w:rPr>
          <w:rFonts w:hint="eastAsia" w:ascii="宋体" w:hAnsi="宋体" w:eastAsia="宋体" w:cs="宋体"/>
          <w:b/>
          <w:color w:val="000000"/>
          <w:sz w:val="72"/>
          <w:szCs w:val="72"/>
        </w:rPr>
        <w:t>方</w:t>
      </w:r>
    </w:p>
    <w:p>
      <w:pPr>
        <w:ind w:firstLine="8659" w:firstLineChars="1198"/>
        <w:jc w:val="center"/>
        <w:rPr>
          <w:rFonts w:hint="eastAsia" w:ascii="宋体" w:hAnsi="宋体" w:eastAsia="宋体" w:cs="宋体"/>
          <w:b/>
          <w:color w:val="000000"/>
          <w:sz w:val="72"/>
          <w:szCs w:val="72"/>
        </w:rPr>
      </w:pPr>
    </w:p>
    <w:p>
      <w:pPr>
        <w:jc w:val="center"/>
        <w:rPr>
          <w:rFonts w:hint="eastAsia" w:ascii="宋体" w:hAnsi="宋体" w:eastAsia="宋体" w:cs="宋体"/>
          <w:b/>
          <w:color w:val="000000"/>
          <w:sz w:val="72"/>
          <w:szCs w:val="72"/>
        </w:rPr>
      </w:pPr>
      <w:r>
        <w:rPr>
          <w:rFonts w:hint="eastAsia" w:ascii="宋体" w:hAnsi="宋体" w:eastAsia="宋体" w:cs="宋体"/>
          <w:b/>
          <w:color w:val="000000"/>
          <w:sz w:val="72"/>
          <w:szCs w:val="72"/>
        </w:rPr>
        <w:t>案</w:t>
      </w:r>
    </w:p>
    <w:p>
      <w:pPr>
        <w:jc w:val="both"/>
        <w:rPr>
          <w:rFonts w:hint="eastAsia" w:ascii="宋体" w:hAnsi="宋体" w:eastAsia="宋体" w:cs="宋体"/>
          <w:b/>
          <w:color w:val="000000"/>
          <w:sz w:val="36"/>
          <w:szCs w:val="36"/>
        </w:rPr>
      </w:pPr>
    </w:p>
    <w:p>
      <w:pPr>
        <w:rPr>
          <w:rFonts w:hint="eastAsia" w:ascii="宋体" w:hAnsi="宋体" w:eastAsia="宋体" w:cs="宋体"/>
          <w:b/>
          <w:sz w:val="36"/>
          <w:szCs w:val="36"/>
        </w:rPr>
      </w:pPr>
    </w:p>
    <w:p>
      <w:pPr>
        <w:jc w:val="center"/>
        <w:rPr>
          <w:rFonts w:hint="eastAsia" w:ascii="宋体" w:hAnsi="宋体" w:eastAsia="宋体" w:cs="宋体"/>
          <w:b/>
          <w:sz w:val="36"/>
          <w:szCs w:val="36"/>
        </w:rPr>
      </w:pPr>
      <w:r>
        <w:rPr>
          <w:rFonts w:hint="eastAsia" w:ascii="宋体" w:hAnsi="宋体" w:eastAsia="宋体" w:cs="宋体"/>
          <w:b/>
          <w:sz w:val="36"/>
          <w:szCs w:val="36"/>
        </w:rPr>
        <w:t>饶平县</w:t>
      </w:r>
      <w:r>
        <w:rPr>
          <w:rFonts w:hint="eastAsia" w:ascii="宋体" w:hAnsi="宋体" w:eastAsia="宋体" w:cs="宋体"/>
          <w:b/>
          <w:sz w:val="36"/>
          <w:szCs w:val="36"/>
          <w:lang w:val="en-US" w:eastAsia="zh-CN"/>
        </w:rPr>
        <w:t>上饶</w:t>
      </w:r>
      <w:r>
        <w:rPr>
          <w:rFonts w:hint="eastAsia" w:ascii="宋体" w:hAnsi="宋体" w:eastAsia="宋体" w:cs="宋体"/>
          <w:b/>
          <w:sz w:val="36"/>
          <w:szCs w:val="36"/>
        </w:rPr>
        <w:t>镇人民政府</w:t>
      </w:r>
    </w:p>
    <w:p>
      <w:pPr>
        <w:jc w:val="center"/>
        <w:rPr>
          <w:rFonts w:hint="eastAsia" w:ascii="宋体" w:hAnsi="宋体" w:eastAsia="宋体" w:cs="宋体"/>
          <w:b/>
          <w:sz w:val="36"/>
          <w:szCs w:val="36"/>
        </w:rPr>
      </w:pPr>
      <w:r>
        <w:rPr>
          <w:rFonts w:hint="eastAsia" w:ascii="宋体" w:hAnsi="宋体" w:eastAsia="宋体" w:cs="宋体"/>
          <w:b/>
          <w:sz w:val="36"/>
          <w:szCs w:val="36"/>
        </w:rPr>
        <w:t>2017年</w:t>
      </w:r>
      <w:r>
        <w:rPr>
          <w:rFonts w:hint="eastAsia" w:ascii="宋体" w:hAnsi="宋体" w:eastAsia="宋体" w:cs="宋体"/>
          <w:b/>
          <w:sz w:val="36"/>
          <w:szCs w:val="36"/>
          <w:lang w:val="en-US" w:eastAsia="zh-CN"/>
        </w:rPr>
        <w:t>9</w:t>
      </w:r>
      <w:r>
        <w:rPr>
          <w:rFonts w:hint="eastAsia" w:ascii="宋体" w:hAnsi="宋体" w:eastAsia="宋体" w:cs="宋体"/>
          <w:b/>
          <w:sz w:val="36"/>
          <w:szCs w:val="36"/>
        </w:rPr>
        <w:t>月</w:t>
      </w:r>
      <w:r>
        <w:rPr>
          <w:rFonts w:hint="eastAsia" w:ascii="宋体" w:hAnsi="宋体" w:eastAsia="宋体" w:cs="宋体"/>
          <w:b/>
          <w:sz w:val="36"/>
          <w:szCs w:val="36"/>
          <w:lang w:val="en-US" w:eastAsia="zh-CN"/>
        </w:rPr>
        <w:t>26</w:t>
      </w:r>
      <w:r>
        <w:rPr>
          <w:rFonts w:hint="eastAsia" w:ascii="宋体" w:hAnsi="宋体" w:eastAsia="宋体" w:cs="宋体"/>
          <w:b/>
          <w:sz w:val="36"/>
          <w:szCs w:val="36"/>
        </w:rPr>
        <w:t>日</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outlineLvl w:val="9"/>
        <w:rPr>
          <w:rFonts w:hint="eastAsia" w:ascii="仿宋_GB2312" w:hAnsi="仿宋_GB2312" w:eastAsia="仿宋_GB2312" w:cs="仿宋_GB2312"/>
          <w:sz w:val="32"/>
          <w:szCs w:val="32"/>
        </w:rPr>
      </w:pPr>
    </w:p>
    <w:p>
      <w:pPr>
        <w:jc w:val="center"/>
        <w:rPr>
          <w:rFonts w:hint="eastAsia" w:ascii="宋体" w:hAnsi="宋体" w:eastAsia="宋体" w:cs="宋体"/>
          <w:b w:val="0"/>
          <w:bCs/>
          <w:color w:val="000000"/>
          <w:sz w:val="44"/>
          <w:szCs w:val="44"/>
        </w:rPr>
      </w:pPr>
      <w:r>
        <w:rPr>
          <w:rFonts w:hint="eastAsia" w:ascii="宋体" w:hAnsi="宋体" w:eastAsia="宋体" w:cs="宋体"/>
          <w:b w:val="0"/>
          <w:bCs/>
          <w:color w:val="000000"/>
          <w:sz w:val="44"/>
          <w:szCs w:val="44"/>
          <w:lang w:val="en-US" w:eastAsia="zh-CN"/>
        </w:rPr>
        <w:t>饶平县上饶</w:t>
      </w:r>
      <w:r>
        <w:rPr>
          <w:rFonts w:hint="eastAsia" w:ascii="宋体" w:hAnsi="宋体" w:eastAsia="宋体" w:cs="宋体"/>
          <w:b w:val="0"/>
          <w:bCs/>
          <w:color w:val="000000"/>
          <w:sz w:val="44"/>
          <w:szCs w:val="44"/>
        </w:rPr>
        <w:t>镇申报广东省教育强镇</w:t>
      </w:r>
    </w:p>
    <w:p>
      <w:pPr>
        <w:jc w:val="center"/>
        <w:rPr>
          <w:rFonts w:hint="eastAsia" w:ascii="宋体" w:hAnsi="宋体" w:eastAsia="宋体" w:cs="宋体"/>
          <w:b w:val="0"/>
          <w:bCs/>
          <w:color w:val="000000"/>
          <w:sz w:val="44"/>
          <w:szCs w:val="44"/>
        </w:rPr>
      </w:pPr>
      <w:r>
        <w:rPr>
          <w:rFonts w:hint="eastAsia" w:ascii="宋体" w:hAnsi="宋体" w:eastAsia="宋体" w:cs="宋体"/>
          <w:b w:val="0"/>
          <w:bCs/>
          <w:color w:val="000000"/>
          <w:sz w:val="44"/>
          <w:szCs w:val="44"/>
        </w:rPr>
        <w:t>复评验收</w:t>
      </w:r>
      <w:r>
        <w:rPr>
          <w:rFonts w:hint="eastAsia" w:ascii="宋体" w:hAnsi="宋体" w:eastAsia="宋体" w:cs="宋体"/>
          <w:b w:val="0"/>
          <w:bCs/>
          <w:color w:val="000000"/>
          <w:sz w:val="44"/>
          <w:szCs w:val="44"/>
          <w:lang w:val="en-US" w:eastAsia="zh-CN"/>
        </w:rPr>
        <w:t>实施方案</w:t>
      </w:r>
    </w:p>
    <w:p>
      <w:pPr>
        <w:jc w:val="center"/>
        <w:rPr>
          <w:rFonts w:hint="eastAsia" w:ascii="宋体" w:hAnsi="宋体" w:eastAsia="宋体" w:cs="宋体"/>
          <w:b/>
          <w:color w:val="000000"/>
          <w:sz w:val="44"/>
          <w:szCs w:val="44"/>
        </w:rPr>
      </w:pP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年，我镇顺利通过了广东省教育强镇的督导验收。根据有关工作安排，</w:t>
      </w:r>
      <w:r>
        <w:rPr>
          <w:rFonts w:hint="eastAsia" w:ascii="仿宋_GB2312" w:hAnsi="仿宋_GB2312" w:eastAsia="仿宋_GB2312" w:cs="仿宋_GB2312"/>
          <w:sz w:val="32"/>
          <w:szCs w:val="32"/>
          <w:lang w:eastAsia="zh-CN"/>
        </w:rPr>
        <w:t>下一步</w:t>
      </w:r>
      <w:r>
        <w:rPr>
          <w:rFonts w:hint="eastAsia" w:ascii="仿宋_GB2312" w:hAnsi="仿宋_GB2312" w:eastAsia="仿宋_GB2312" w:cs="仿宋_GB2312"/>
          <w:sz w:val="32"/>
          <w:szCs w:val="32"/>
        </w:rPr>
        <w:t>我镇将接受复评。对照《广东省教育强镇（乡、街道）督导验收方案》，参照教育强镇督导验收的做法，本着求真务实的精神，现就迎接广东省教育强镇复评工作制定如下方案：</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3"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一、指导思想</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坚持以十八大、十八届历次全会精神</w:t>
      </w:r>
      <w:r>
        <w:rPr>
          <w:rFonts w:hint="eastAsia" w:ascii="仿宋_GB2312" w:hAnsi="仿宋_GB2312" w:eastAsia="仿宋_GB2312" w:cs="仿宋_GB2312"/>
          <w:sz w:val="32"/>
          <w:szCs w:val="32"/>
          <w:lang w:eastAsia="zh-CN"/>
        </w:rPr>
        <w:t>、十九大精神</w:t>
      </w:r>
      <w:r>
        <w:rPr>
          <w:rFonts w:hint="eastAsia" w:ascii="仿宋_GB2312" w:hAnsi="仿宋_GB2312" w:eastAsia="仿宋_GB2312" w:cs="仿宋_GB2312"/>
          <w:sz w:val="32"/>
          <w:szCs w:val="32"/>
        </w:rPr>
        <w:t>和习近平总书记系列重要讲话精神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习近平新时代中国特色社会主义思想为指导，以广东省教育强镇复评活动为契机，以《广东省教育强镇（乡、街道）督导验收方案》为依据，以办人民满意教育为宗旨，以深化教育改革为动力，以促进学校内涵提升为导向，以建设义务教育阶段规范化学校、创建现代教育技术实验学校为契机，以提高基础教育水平为重点，以促进教育均衡发展和加强师资队伍建设为中心，按照201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年广东省教育强镇（街）督导验收专家组提出的反馈意见和整改建议，进一步总结经验，改进薄弱环节，明确努力方向，积极自查整改，认真做好各项准备工作，确保我镇顺利通过省教育强镇的复评</w:t>
      </w:r>
      <w:r>
        <w:rPr>
          <w:rFonts w:hint="eastAsia" w:ascii="仿宋_GB2312" w:hAnsi="仿宋_GB2312" w:eastAsia="仿宋_GB2312" w:cs="仿宋_GB2312"/>
          <w:sz w:val="32"/>
          <w:szCs w:val="32"/>
          <w:lang w:eastAsia="zh-CN"/>
        </w:rPr>
        <w:t>验</w:t>
      </w:r>
      <w:r>
        <w:rPr>
          <w:rFonts w:hint="eastAsia" w:ascii="仿宋_GB2312" w:hAnsi="仿宋_GB2312" w:eastAsia="仿宋_GB2312" w:cs="仿宋_GB2312"/>
          <w:sz w:val="32"/>
          <w:szCs w:val="32"/>
          <w:lang w:val="en-US" w:eastAsia="zh-CN"/>
        </w:rPr>
        <w:t>收</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3"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二、工作目标</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教育强镇复评，充分展示我镇近几年来重视教育、支持教育、优先发展教育的成果，力争在强镇复评督导验收指标体系共2个一级指标（即政府责任、教育管理与素质教育）、5个二级指标（即规划与机制、改善办学条件、师资队伍建设、规范办学行为与素质教育、办学成效）和28个三级指标（涵盖2个一级指标和5个二级指标的细化指标）都达标，促进我镇教育优质、均衡发展，进一步优化全民教育、终身教育体系，加速我镇教育现代化进程，顺利通过教育强镇的复评验收。</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3"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三、工作要求</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2" w:firstLineChars="150"/>
        <w:jc w:val="left"/>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rPr>
        <w:t>（一）健全机构，加强领导。</w:t>
      </w:r>
      <w:r>
        <w:rPr>
          <w:rFonts w:hint="eastAsia" w:ascii="仿宋_GB2312" w:hAnsi="仿宋_GB2312" w:eastAsia="仿宋_GB2312" w:cs="仿宋_GB2312"/>
          <w:sz w:val="32"/>
          <w:szCs w:val="32"/>
        </w:rPr>
        <w:t>成立教育强镇复评工作领导小组，</w:t>
      </w:r>
      <w:r>
        <w:rPr>
          <w:rFonts w:hint="eastAsia" w:ascii="仿宋_GB2312" w:hAnsi="仿宋_GB2312" w:eastAsia="仿宋_GB2312" w:cs="仿宋_GB2312"/>
          <w:bCs/>
          <w:sz w:val="32"/>
          <w:szCs w:val="32"/>
        </w:rPr>
        <w:t>成立了由镇党委书记任组长，镇长、党委副书记、分管领导为副组长，镇属各职能部门负责人和各学校校长为成员的强镇复评工作领导小组，领导小组下设办公室，办公室主任由詹宽宏担任，詹小翠、</w:t>
      </w:r>
      <w:r>
        <w:rPr>
          <w:rFonts w:hint="eastAsia" w:ascii="仿宋_GB2312" w:hAnsi="仿宋_GB2312" w:eastAsia="仿宋_GB2312" w:cs="仿宋_GB2312"/>
          <w:bCs/>
          <w:sz w:val="32"/>
          <w:szCs w:val="32"/>
          <w:lang w:val="en-US" w:eastAsia="zh-CN"/>
        </w:rPr>
        <w:t>姚建涛</w:t>
      </w:r>
      <w:r>
        <w:rPr>
          <w:rFonts w:hint="eastAsia" w:ascii="仿宋_GB2312" w:hAnsi="仿宋_GB2312" w:eastAsia="仿宋_GB2312" w:cs="仿宋_GB2312"/>
          <w:bCs/>
          <w:sz w:val="32"/>
          <w:szCs w:val="32"/>
        </w:rPr>
        <w:t>同志为联络员。</w:t>
      </w:r>
      <w:r>
        <w:rPr>
          <w:rFonts w:hint="eastAsia" w:ascii="仿宋_GB2312" w:hAnsi="仿宋_GB2312" w:eastAsia="仿宋_GB2312" w:cs="仿宋_GB2312"/>
          <w:bCs/>
          <w:sz w:val="32"/>
          <w:szCs w:val="32"/>
          <w:lang w:val="en-US" w:eastAsia="zh-CN"/>
        </w:rPr>
        <w:t>办公室</w:t>
      </w:r>
      <w:r>
        <w:rPr>
          <w:rFonts w:hint="eastAsia" w:ascii="仿宋_GB2312" w:hAnsi="仿宋_GB2312" w:eastAsia="仿宋_GB2312" w:cs="仿宋_GB2312"/>
          <w:bCs/>
          <w:sz w:val="32"/>
          <w:szCs w:val="32"/>
        </w:rPr>
        <w:t>负责领导小组的日常工作，全面统筹协调各村和镇直各有关职能部门的工作，督促解决</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复评</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工作中遇到的困难和问题。各有关职能部门负责人和各村的支部书记是“</w:t>
      </w:r>
      <w:r>
        <w:rPr>
          <w:rFonts w:hint="eastAsia" w:ascii="仿宋_GB2312" w:hAnsi="仿宋_GB2312" w:eastAsia="仿宋_GB2312" w:cs="仿宋_GB2312"/>
          <w:bCs/>
          <w:sz w:val="32"/>
          <w:szCs w:val="32"/>
          <w:lang w:val="en-US" w:eastAsia="zh-CN"/>
        </w:rPr>
        <w:t>复评</w:t>
      </w:r>
      <w:r>
        <w:rPr>
          <w:rFonts w:hint="eastAsia" w:ascii="仿宋_GB2312" w:hAnsi="仿宋_GB2312" w:eastAsia="仿宋_GB2312" w:cs="仿宋_GB2312"/>
          <w:bCs/>
          <w:sz w:val="32"/>
          <w:szCs w:val="32"/>
        </w:rPr>
        <w:t>”工作的第一责任人。各村、各有关职能部门必须积极主动配合“</w:t>
      </w:r>
      <w:r>
        <w:rPr>
          <w:rFonts w:hint="eastAsia" w:ascii="仿宋_GB2312" w:hAnsi="仿宋_GB2312" w:eastAsia="仿宋_GB2312" w:cs="仿宋_GB2312"/>
          <w:bCs/>
          <w:sz w:val="32"/>
          <w:szCs w:val="32"/>
          <w:lang w:val="en-US" w:eastAsia="zh-CN"/>
        </w:rPr>
        <w:t>复评</w:t>
      </w:r>
      <w:r>
        <w:rPr>
          <w:rFonts w:hint="eastAsia" w:ascii="仿宋_GB2312" w:hAnsi="仿宋_GB2312" w:eastAsia="仿宋_GB2312" w:cs="仿宋_GB2312"/>
          <w:bCs/>
          <w:sz w:val="32"/>
          <w:szCs w:val="32"/>
        </w:rPr>
        <w:t>”工作，并完成相关的具体任务。</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2" w:firstLineChars="15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（二）提高认识，落实到位。</w:t>
      </w:r>
      <w:r>
        <w:rPr>
          <w:rFonts w:hint="eastAsia" w:ascii="仿宋_GB2312" w:hAnsi="仿宋_GB2312" w:eastAsia="仿宋_GB2312" w:cs="仿宋_GB2312"/>
          <w:sz w:val="32"/>
          <w:szCs w:val="32"/>
        </w:rPr>
        <w:t>把教育强镇复评工作列入我镇工作重要议事日程，将教育强镇复评纳入经济发展和社会发展的总体规划，按照突出重点、抓住关键、统一规划、全面推进的原则，有计划、有步骤地组织教育强镇复评的实施工作。广大党员干部群众要进一步提高对教育强镇复评工作的认识，确保教育强镇复评的各项目标和任务落到实处。</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59" w:firstLineChars="205"/>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（三）加强宣传，营造氛围。</w:t>
      </w:r>
      <w:r>
        <w:rPr>
          <w:rFonts w:hint="eastAsia" w:ascii="仿宋_GB2312" w:hAnsi="仿宋_GB2312" w:eastAsia="仿宋_GB2312" w:cs="仿宋_GB2312"/>
          <w:sz w:val="32"/>
          <w:szCs w:val="32"/>
        </w:rPr>
        <w:t>要广泛深入持久地做好宣传引导工作，使广大群众深刻认识到创建省教育强镇工作是一项功在当代、利在千秋的德政工程、民心工程，形成上下齐心，人人参与，共创共建的良好氛围，使“强镇”复评工作成为全镇每个单位、每位公民的自觉行动。</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3"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（四）加大投入，扎实推进。</w:t>
      </w:r>
      <w:r>
        <w:rPr>
          <w:rFonts w:hint="eastAsia" w:ascii="仿宋_GB2312" w:hAnsi="仿宋_GB2312" w:eastAsia="仿宋_GB2312" w:cs="仿宋_GB2312"/>
          <w:sz w:val="32"/>
          <w:szCs w:val="32"/>
        </w:rPr>
        <w:t>各村（</w:t>
      </w:r>
      <w:r>
        <w:rPr>
          <w:rFonts w:hint="eastAsia" w:ascii="仿宋_GB2312" w:hAnsi="仿宋_GB2312" w:eastAsia="仿宋_GB2312" w:cs="仿宋_GB2312"/>
          <w:sz w:val="32"/>
          <w:szCs w:val="32"/>
          <w:lang w:eastAsia="zh-CN"/>
        </w:rPr>
        <w:t>社区</w:t>
      </w:r>
      <w:r>
        <w:rPr>
          <w:rFonts w:hint="eastAsia" w:ascii="仿宋_GB2312" w:hAnsi="仿宋_GB2312" w:eastAsia="仿宋_GB2312" w:cs="仿宋_GB2312"/>
          <w:sz w:val="32"/>
          <w:szCs w:val="32"/>
        </w:rPr>
        <w:t>）、各部门、各学校要发挥主体作用，动员广大干部、教职工迅速行动起来，增强迎接教育强镇复评的信心和决心，多渠道筹集资金，加大对教育事业的投入，确保教育强镇复评工作的顺利推进。</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59" w:firstLineChars="205"/>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（五）通力协作，密切配合。</w:t>
      </w:r>
      <w:r>
        <w:rPr>
          <w:rFonts w:hint="eastAsia" w:ascii="仿宋_GB2312" w:hAnsi="仿宋_GB2312" w:eastAsia="仿宋_GB2312" w:cs="仿宋_GB2312"/>
          <w:sz w:val="32"/>
          <w:szCs w:val="32"/>
        </w:rPr>
        <w:t>全镇上下要统一认识，把“强镇”复评工作当做本年度的一项中心任务，围绕创建大局，服从统一调度，密切配合，齐抓共管，加强人力、物力和精力的集中投入，开展创建统一行动，做到常规工作与“强镇”复评工作工作两不误、两促进，确保“强镇”复评工作顺利开展。</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3"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四、主要工作任务</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15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（一）扎实推进规范化学校和教育现代化学校建设，促进全镇学校办学条件的均衡。继续加大投入，完善教育设施。</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15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创新培养途径与方法，积极建设高素质教师团队。不断加大教师干部教育培训力度，建立健全优秀教育人才的激励和培养机制。加强以校本培训为主要途径的全员培训，形成一支高素质的教育团队，进一步提升教师队伍的整体素质。</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15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（三）狠抓教育教学管理，努力提高质量。积极推进素质教育，深化基础教育课程改革，促进教师专业发展，进一步提高我镇教育教学质量。</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15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（四）加强校园文化建设，丰富校园文化内涵。要结合各校的实际和地方特色，充分发掘历史文化底蕴，创建特色文化。</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3"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五、工作步骤</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15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（一）宣传发动阶段（2017年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1.召开动员大会，明确任务分工。2017年7月初召开</w:t>
      </w:r>
      <w:r>
        <w:rPr>
          <w:rFonts w:hint="eastAsia" w:ascii="仿宋_GB2312" w:hAnsi="仿宋_GB2312" w:eastAsia="仿宋_GB2312" w:cs="仿宋_GB2312"/>
          <w:sz w:val="32"/>
          <w:szCs w:val="32"/>
          <w:lang w:eastAsia="zh-CN"/>
        </w:rPr>
        <w:t>上饶</w:t>
      </w:r>
      <w:r>
        <w:rPr>
          <w:rFonts w:hint="eastAsia" w:ascii="仿宋_GB2312" w:hAnsi="仿宋_GB2312" w:eastAsia="仿宋_GB2312" w:cs="仿宋_GB2312"/>
          <w:sz w:val="32"/>
          <w:szCs w:val="32"/>
        </w:rPr>
        <w:t>镇迎接省教育强镇复评动员大会。拟订具体实施方案，成立教育强镇复评领导小组和工作小组，形成统一指挥、分工负责、各司其职、协同作战的工作机制，并将工作责任和工作任务落实到个人。</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2.加大宣传力度，营造良好氛围。迎接广东省教育强镇复评工作领导小组及时宣传报道各单位、各部门落实教育强镇复评工作情况，报道迎评先进典型的经验及做法，形成强有力的舆论声势。</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15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（二）实施推进阶段（2017年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月至1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1.借鉴和学习有关乡镇迎接教育强镇复评的经验和做法，结合本镇实际创造性地开展迎接教育强镇复评工作。</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2.对照教育强镇验收组提出的问题，制定整改实施方案，认真落实各项整改工作，使各项工作有序进行。</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3.认真做好教育强镇复评印证材料的清点、整理、补缺工作。</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4.写好教育强镇复评自评报告。</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5.向省人民政府督导室提出“教育强镇”复评申请。（10月底）</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15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（三）迎接复评阶段（2017年1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1.再次召开动员大会，布置落实迎评工作，同时认真组织自查，发现问题及时纠正，做好补缺补漏工作。</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2.全面完成教育强镇复评的各项迎检准备工作。</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640" w:firstLineChars="200"/>
        <w:jc w:val="left"/>
        <w:textAlignment w:val="auto"/>
        <w:outlineLvl w:val="9"/>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64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64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640" w:firstLine="640" w:firstLineChars="200"/>
        <w:jc w:val="left"/>
        <w:textAlignment w:val="auto"/>
        <w:outlineLvl w:val="9"/>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640" w:firstLine="5440" w:firstLineChars="17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上饶</w:t>
      </w:r>
      <w:r>
        <w:rPr>
          <w:rFonts w:hint="eastAsia" w:ascii="仿宋_GB2312" w:hAnsi="仿宋_GB2312" w:eastAsia="仿宋_GB2312" w:cs="仿宋_GB2312"/>
          <w:sz w:val="32"/>
          <w:szCs w:val="32"/>
        </w:rPr>
        <w:t>镇人民政府</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64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2017年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月26日</w:t>
      </w:r>
    </w:p>
    <w:sectPr>
      <w:footerReference r:id="rId3" w:type="default"/>
      <w:pgSz w:w="11906" w:h="16838"/>
      <w:pgMar w:top="1440" w:right="1519" w:bottom="1440" w:left="1519" w:header="708" w:footer="709" w:gutter="0"/>
      <w:paperSrc/>
      <w:cols w:space="0" w:num="1"/>
      <w:rtlGutter w:val="0"/>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displayVerticalDrawingGridEvery w:val="2"/>
  <w:characterSpacingControl w:val="doNotCompress"/>
  <w:noLineBreaksAfter w:lang="zh-CN" w:val="$([{£¥·‘“〈《「『【〔〖〝﹙﹛﹝＄（．［｛￡￥"/>
  <w:noLineBreaksBefore w:lang="zh-CN" w:val="!%),.:;&gt;?]}¢¨°·ˇˉ―‖’”…‰′″›℃∶、。〃〉》」』】〕〗〞︶︺︾﹀﹄﹚﹜﹞！＂％＇），．：；？］｀｜｝～￠"/>
  <w:compat>
    <w:spaceForUL/>
    <w:doNotLeaveBackslashAlone/>
    <w:ulTrailSpac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0272E"/>
    <w:rsid w:val="000357F3"/>
    <w:rsid w:val="000F3D05"/>
    <w:rsid w:val="001A6D1D"/>
    <w:rsid w:val="00200AEF"/>
    <w:rsid w:val="002A0E64"/>
    <w:rsid w:val="00323B43"/>
    <w:rsid w:val="003D37D8"/>
    <w:rsid w:val="00404432"/>
    <w:rsid w:val="00426133"/>
    <w:rsid w:val="004358AB"/>
    <w:rsid w:val="0047272E"/>
    <w:rsid w:val="004C102F"/>
    <w:rsid w:val="004D5116"/>
    <w:rsid w:val="004E2037"/>
    <w:rsid w:val="00512E4C"/>
    <w:rsid w:val="00537EC0"/>
    <w:rsid w:val="005F59D9"/>
    <w:rsid w:val="00614021"/>
    <w:rsid w:val="006530B1"/>
    <w:rsid w:val="00683482"/>
    <w:rsid w:val="006E144B"/>
    <w:rsid w:val="00774CD4"/>
    <w:rsid w:val="0085576C"/>
    <w:rsid w:val="008854BB"/>
    <w:rsid w:val="008B7726"/>
    <w:rsid w:val="00922403"/>
    <w:rsid w:val="0095168C"/>
    <w:rsid w:val="00970BC5"/>
    <w:rsid w:val="00A07C6B"/>
    <w:rsid w:val="00AB630A"/>
    <w:rsid w:val="00B5373C"/>
    <w:rsid w:val="00B62E67"/>
    <w:rsid w:val="00BE28D0"/>
    <w:rsid w:val="00C146CB"/>
    <w:rsid w:val="00C61FBC"/>
    <w:rsid w:val="00C8427C"/>
    <w:rsid w:val="00D31D50"/>
    <w:rsid w:val="00D7284D"/>
    <w:rsid w:val="00E2312C"/>
    <w:rsid w:val="00EC21C3"/>
    <w:rsid w:val="00F36EAD"/>
    <w:rsid w:val="00F60CE3"/>
    <w:rsid w:val="00F7611B"/>
    <w:rsid w:val="00F9431A"/>
    <w:rsid w:val="026E6F8C"/>
    <w:rsid w:val="02EF7F4C"/>
    <w:rsid w:val="140867BF"/>
    <w:rsid w:val="15575CB1"/>
    <w:rsid w:val="18494C85"/>
    <w:rsid w:val="242A135C"/>
    <w:rsid w:val="346E2BE6"/>
    <w:rsid w:val="37501178"/>
    <w:rsid w:val="395E65AE"/>
    <w:rsid w:val="3A4016D3"/>
    <w:rsid w:val="3A7A6F34"/>
    <w:rsid w:val="3BA63263"/>
    <w:rsid w:val="3E340BE7"/>
    <w:rsid w:val="40A73471"/>
    <w:rsid w:val="492E344E"/>
    <w:rsid w:val="4E981530"/>
    <w:rsid w:val="514B1977"/>
    <w:rsid w:val="51AC7D75"/>
    <w:rsid w:val="5948729C"/>
    <w:rsid w:val="5A1B074F"/>
    <w:rsid w:val="5BBD7D13"/>
    <w:rsid w:val="5D744F87"/>
    <w:rsid w:val="67CD3B55"/>
    <w:rsid w:val="69A625D9"/>
    <w:rsid w:val="709C62A4"/>
    <w:rsid w:val="749001C7"/>
    <w:rsid w:val="77235942"/>
    <w:rsid w:val="78451AF3"/>
    <w:rsid w:val="7901524C"/>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ahoma"/>
      <w:kern w:val="0"/>
      <w:sz w:val="22"/>
      <w:szCs w:val="22"/>
      <w:lang w:val="en-US" w:eastAsia="zh-CN" w:bidi="ar-SA"/>
    </w:rPr>
  </w:style>
  <w:style w:type="character" w:default="1" w:styleId="4">
    <w:name w:val="Default Paragraph Font"/>
    <w:semiHidden/>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pPr>
    <w:rPr>
      <w:sz w:val="18"/>
      <w:szCs w:val="18"/>
    </w:rPr>
  </w:style>
  <w:style w:type="paragraph" w:styleId="3">
    <w:name w:val="header"/>
    <w:basedOn w:val="1"/>
    <w:link w:val="8"/>
    <w:semiHidden/>
    <w:uiPriority w:val="99"/>
    <w:pPr>
      <w:pBdr>
        <w:bottom w:val="single" w:color="auto" w:sz="6" w:space="1"/>
      </w:pBdr>
      <w:tabs>
        <w:tab w:val="center" w:pos="4153"/>
        <w:tab w:val="right" w:pos="8306"/>
      </w:tabs>
      <w:jc w:val="center"/>
    </w:pPr>
    <w:rPr>
      <w:sz w:val="18"/>
      <w:szCs w:val="18"/>
    </w:rPr>
  </w:style>
  <w:style w:type="character" w:styleId="5">
    <w:name w:val="Strong"/>
    <w:basedOn w:val="4"/>
    <w:qFormat/>
    <w:locked/>
    <w:uiPriority w:val="0"/>
    <w:rPr>
      <w:b/>
    </w:rPr>
  </w:style>
  <w:style w:type="character" w:styleId="6">
    <w:name w:val="page number"/>
    <w:basedOn w:val="4"/>
    <w:unhideWhenUsed/>
    <w:qFormat/>
    <w:uiPriority w:val="99"/>
  </w:style>
  <w:style w:type="character" w:customStyle="1" w:styleId="8">
    <w:name w:val="Header Char"/>
    <w:basedOn w:val="4"/>
    <w:link w:val="3"/>
    <w:semiHidden/>
    <w:locked/>
    <w:uiPriority w:val="99"/>
    <w:rPr>
      <w:rFonts w:ascii="Tahoma" w:hAnsi="Tahoma" w:cs="Tahoma"/>
      <w:sz w:val="18"/>
      <w:szCs w:val="18"/>
    </w:rPr>
  </w:style>
  <w:style w:type="character" w:customStyle="1" w:styleId="9">
    <w:name w:val="Footer Char"/>
    <w:basedOn w:val="4"/>
    <w:link w:val="2"/>
    <w:qFormat/>
    <w:locked/>
    <w:uiPriority w:val="99"/>
    <w:rPr>
      <w:rFonts w:ascii="Tahoma" w:hAnsi="Tahoma" w:cs="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www.ftpdown.com</Company>
  <Pages>5</Pages>
  <Words>350</Words>
  <Characters>1996</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2014-11-12T08:28:00Z</dcterms:created>
  <dc:creator>Administrator</dc:creator>
  <cp:lastModifiedBy>john</cp:lastModifiedBy>
  <cp:lastPrinted>2018-03-08T09:02:00Z</cp:lastPrinted>
  <dcterms:modified xsi:type="dcterms:W3CDTF">2018-03-15T15:18:02Z</dcterms:modified>
  <dc:title>潮州市饶平县上饶镇教育强镇</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