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2DEE">
      <w:pPr>
        <w:rPr>
          <w:rFonts w:ascii="黑体" w:eastAsia="黑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700" w:lineRule="exact"/>
        <w:jc w:val="center"/>
        <w:rPr>
          <w:rFonts w:ascii="方正小标宋简体" w:eastAsia="方正小标宋简体" w:hAnsi="宋体" w:cs="宋体"/>
          <w:b/>
          <w:color w:val="000000"/>
          <w:kern w:val="0"/>
          <w:sz w:val="44"/>
          <w:szCs w:val="52"/>
        </w:rPr>
      </w:pP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52"/>
        </w:rPr>
        <w:t>广东省教育强镇（乡、街道）</w:t>
      </w: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52"/>
        </w:rPr>
        <w:t xml:space="preserve">                </w:t>
      </w:r>
      <w:r>
        <w:rPr>
          <w:rFonts w:ascii="方正小标宋简体" w:eastAsia="方正小标宋简体" w:hAnsi="宋体" w:cs="宋体" w:hint="eastAsia"/>
          <w:b/>
          <w:color w:val="000000"/>
          <w:kern w:val="0"/>
          <w:sz w:val="44"/>
          <w:szCs w:val="52"/>
        </w:rPr>
        <w:t>督导验收方案</w:t>
      </w:r>
    </w:p>
    <w:p w:rsidR="00000000" w:rsidRDefault="00BA2DEE">
      <w:pPr>
        <w:snapToGrid w:val="0"/>
        <w:spacing w:line="700" w:lineRule="exact"/>
        <w:jc w:val="center"/>
        <w:rPr>
          <w:rFonts w:ascii="楷体" w:eastAsia="楷体" w:hAnsi="楷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（修订）</w:t>
      </w:r>
    </w:p>
    <w:p w:rsidR="00000000" w:rsidRDefault="00BA2DEE">
      <w:pPr>
        <w:widowControl/>
        <w:tabs>
          <w:tab w:val="left" w:pos="6300"/>
        </w:tabs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ab/>
      </w: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000000" w:rsidRDefault="00BA2DEE">
      <w:pPr>
        <w:widowControl/>
        <w:spacing w:line="560" w:lineRule="exact"/>
        <w:ind w:firstLineChars="450" w:firstLine="1620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申报单位：</w:t>
      </w:r>
      <w:r w:rsidR="00590025">
        <w:rPr>
          <w:rFonts w:ascii="仿宋" w:eastAsia="仿宋" w:hAnsi="仿宋" w:cs="宋体" w:hint="eastAsia"/>
          <w:kern w:val="0"/>
          <w:sz w:val="32"/>
          <w:szCs w:val="32"/>
          <w:u w:val="single"/>
        </w:rPr>
        <w:t>潮州市饶平县建饶镇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</w:rPr>
        <w:t>人民政府</w:t>
      </w:r>
    </w:p>
    <w:p w:rsidR="00000000" w:rsidRDefault="00BA2DEE">
      <w:pPr>
        <w:widowControl/>
        <w:spacing w:line="560" w:lineRule="exact"/>
        <w:ind w:firstLineChars="450" w:firstLine="1620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申报时间：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 </w:t>
      </w:r>
      <w:r>
        <w:rPr>
          <w:rFonts w:ascii="宋体" w:hAnsi="宋体" w:cs="宋体" w:hint="eastAsia"/>
          <w:kern w:val="0"/>
          <w:sz w:val="32"/>
          <w:szCs w:val="32"/>
          <w:u w:val="single"/>
        </w:rPr>
        <w:t xml:space="preserve">2017 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</w:rPr>
        <w:t>年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</w:t>
      </w:r>
      <w:r>
        <w:rPr>
          <w:rFonts w:ascii="宋体" w:hAnsi="宋体" w:cs="宋体" w:hint="eastAsia"/>
          <w:kern w:val="0"/>
          <w:sz w:val="32"/>
          <w:szCs w:val="32"/>
          <w:u w:val="single"/>
        </w:rPr>
        <w:t xml:space="preserve"> </w:t>
      </w:r>
      <w:r w:rsidR="00590025">
        <w:rPr>
          <w:rFonts w:ascii="宋体" w:hAnsi="宋体" w:cs="宋体" w:hint="eastAsia"/>
          <w:kern w:val="0"/>
          <w:sz w:val="32"/>
          <w:szCs w:val="32"/>
          <w:u w:val="single"/>
        </w:rPr>
        <w:t>11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</w:rPr>
        <w:t>月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 </w:t>
      </w:r>
      <w:r w:rsidR="00590025">
        <w:rPr>
          <w:rFonts w:ascii="宋体" w:hAnsi="宋体" w:cs="宋体" w:hint="eastAsia"/>
          <w:kern w:val="0"/>
          <w:sz w:val="32"/>
          <w:szCs w:val="32"/>
          <w:u w:val="single"/>
        </w:rPr>
        <w:t>30</w:t>
      </w:r>
      <w:r>
        <w:rPr>
          <w:rFonts w:ascii="宋体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  <w:u w:val="single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</w:rPr>
        <w:t>日</w:t>
      </w:r>
    </w:p>
    <w:p w:rsidR="00000000" w:rsidRDefault="00BA2DEE">
      <w:pPr>
        <w:widowControl/>
        <w:spacing w:line="560" w:lineRule="exact"/>
        <w:ind w:firstLineChars="450" w:firstLine="1620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申</w:t>
      </w:r>
      <w:r>
        <w:rPr>
          <w:rFonts w:ascii="宋体" w:hAnsi="宋体" w:cs="宋体" w:hint="eastAsia"/>
          <w:kern w:val="0"/>
          <w:sz w:val="36"/>
          <w:szCs w:val="36"/>
        </w:rPr>
        <w:t xml:space="preserve">    </w:t>
      </w:r>
      <w:r>
        <w:rPr>
          <w:rFonts w:ascii="宋体" w:hAnsi="宋体" w:cs="宋体" w:hint="eastAsia"/>
          <w:kern w:val="0"/>
          <w:sz w:val="36"/>
          <w:szCs w:val="36"/>
        </w:rPr>
        <w:t>报：初评（</w:t>
      </w:r>
      <w:r>
        <w:rPr>
          <w:rFonts w:ascii="宋体" w:hAnsi="宋体" w:cs="宋体" w:hint="eastAsia"/>
          <w:kern w:val="0"/>
          <w:sz w:val="36"/>
          <w:szCs w:val="36"/>
        </w:rPr>
        <w:t xml:space="preserve">   </w:t>
      </w:r>
      <w:r>
        <w:rPr>
          <w:rFonts w:ascii="宋体" w:hAnsi="宋体" w:cs="宋体" w:hint="eastAsia"/>
          <w:kern w:val="0"/>
          <w:sz w:val="36"/>
          <w:szCs w:val="36"/>
        </w:rPr>
        <w:t>）复评（</w:t>
      </w:r>
      <w:r>
        <w:rPr>
          <w:rFonts w:ascii="宋体" w:hAnsi="宋体" w:cs="宋体" w:hint="eastAsia"/>
          <w:kern w:val="0"/>
          <w:sz w:val="36"/>
          <w:szCs w:val="36"/>
        </w:rPr>
        <w:t xml:space="preserve"> </w:t>
      </w:r>
      <w:r>
        <w:rPr>
          <w:rFonts w:ascii="宋体" w:hAnsi="宋体" w:cs="宋体" w:hint="eastAsia"/>
          <w:kern w:val="0"/>
          <w:sz w:val="32"/>
          <w:szCs w:val="32"/>
        </w:rPr>
        <w:t>√</w:t>
      </w:r>
      <w:r>
        <w:rPr>
          <w:rFonts w:ascii="宋体" w:hAnsi="宋体" w:cs="宋体" w:hint="eastAsia"/>
          <w:kern w:val="0"/>
          <w:sz w:val="36"/>
          <w:szCs w:val="36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</w:rPr>
        <w:t>）</w:t>
      </w:r>
    </w:p>
    <w:p w:rsidR="00000000" w:rsidRDefault="00BA2DEE">
      <w:pPr>
        <w:widowControl/>
        <w:spacing w:line="560" w:lineRule="exact"/>
        <w:jc w:val="center"/>
        <w:rPr>
          <w:rFonts w:ascii="楷体_GB2312" w:eastAsia="楷体_GB2312" w:hAnsi="宋体" w:cs="宋体" w:hint="eastAsia"/>
          <w:kern w:val="0"/>
          <w:sz w:val="36"/>
          <w:szCs w:val="36"/>
        </w:rPr>
      </w:pPr>
    </w:p>
    <w:p w:rsidR="00000000" w:rsidRDefault="00BA2DEE">
      <w:pPr>
        <w:widowControl/>
        <w:spacing w:line="560" w:lineRule="exact"/>
        <w:jc w:val="center"/>
        <w:rPr>
          <w:rFonts w:ascii="楷体_GB2312" w:eastAsia="楷体_GB2312" w:hAnsi="宋体" w:cs="宋体" w:hint="eastAsia"/>
          <w:kern w:val="0"/>
          <w:sz w:val="36"/>
          <w:szCs w:val="36"/>
        </w:rPr>
      </w:pPr>
    </w:p>
    <w:p w:rsidR="00000000" w:rsidRDefault="00BA2DEE">
      <w:pPr>
        <w:widowControl/>
        <w:spacing w:line="560" w:lineRule="exact"/>
        <w:jc w:val="center"/>
        <w:rPr>
          <w:rFonts w:eastAsia="楷体_GB2312"/>
          <w:kern w:val="0"/>
          <w:sz w:val="36"/>
          <w:szCs w:val="36"/>
        </w:rPr>
      </w:pPr>
      <w:r>
        <w:rPr>
          <w:rFonts w:eastAsia="楷体_GB2312"/>
          <w:kern w:val="0"/>
          <w:sz w:val="36"/>
          <w:szCs w:val="36"/>
        </w:rPr>
        <w:t>广东省人民政府教育督导室制</w:t>
      </w:r>
    </w:p>
    <w:p w:rsidR="00000000" w:rsidRDefault="00BA2DEE">
      <w:pPr>
        <w:spacing w:line="560" w:lineRule="exact"/>
        <w:jc w:val="center"/>
        <w:rPr>
          <w:rFonts w:eastAsia="黑体" w:hint="eastAsia"/>
          <w:kern w:val="0"/>
          <w:sz w:val="32"/>
          <w:szCs w:val="32"/>
        </w:rPr>
      </w:pPr>
      <w:r>
        <w:rPr>
          <w:rFonts w:eastAsia="楷体_GB2312"/>
          <w:kern w:val="0"/>
          <w:sz w:val="36"/>
          <w:szCs w:val="36"/>
        </w:rPr>
        <w:t>201</w:t>
      </w:r>
      <w:r w:rsidR="00590025">
        <w:rPr>
          <w:rFonts w:eastAsia="楷体_GB2312" w:hint="eastAsia"/>
          <w:kern w:val="0"/>
          <w:sz w:val="36"/>
          <w:szCs w:val="36"/>
        </w:rPr>
        <w:t>7</w:t>
      </w:r>
      <w:r>
        <w:rPr>
          <w:rFonts w:eastAsia="楷体_GB2312"/>
          <w:kern w:val="0"/>
          <w:sz w:val="36"/>
          <w:szCs w:val="36"/>
        </w:rPr>
        <w:t>年</w:t>
      </w:r>
      <w:r w:rsidR="00590025">
        <w:rPr>
          <w:rFonts w:eastAsia="楷体_GB2312" w:hint="eastAsia"/>
          <w:kern w:val="0"/>
          <w:sz w:val="36"/>
          <w:szCs w:val="36"/>
        </w:rPr>
        <w:t>9</w:t>
      </w:r>
      <w:r>
        <w:rPr>
          <w:rFonts w:eastAsia="楷体_GB2312"/>
          <w:kern w:val="0"/>
          <w:sz w:val="36"/>
          <w:szCs w:val="36"/>
        </w:rPr>
        <w:t>月</w:t>
      </w:r>
      <w:r>
        <w:rPr>
          <w:rFonts w:eastAsia="楷体_GB2312" w:hint="eastAsia"/>
          <w:kern w:val="0"/>
          <w:sz w:val="36"/>
          <w:szCs w:val="36"/>
        </w:rPr>
        <w:t>修订</w:t>
      </w:r>
    </w:p>
    <w:p w:rsidR="00000000" w:rsidRDefault="00BA2DEE">
      <w:pPr>
        <w:rPr>
          <w:rFonts w:hint="eastAsia"/>
        </w:rPr>
      </w:pPr>
    </w:p>
    <w:p w:rsidR="00000000" w:rsidRDefault="00BA2DEE">
      <w:pPr>
        <w:spacing w:line="700" w:lineRule="exact"/>
        <w:jc w:val="center"/>
        <w:rPr>
          <w:rFonts w:ascii="黑体" w:eastAsia="黑体" w:hAnsi="宋体" w:cs="宋体" w:hint="eastAsia"/>
          <w:kern w:val="0"/>
          <w:sz w:val="44"/>
          <w:szCs w:val="32"/>
        </w:rPr>
      </w:pPr>
    </w:p>
    <w:p w:rsidR="00590025" w:rsidRDefault="00590025" w:rsidP="00590025">
      <w:pPr>
        <w:spacing w:line="700" w:lineRule="exact"/>
        <w:jc w:val="center"/>
        <w:rPr>
          <w:rFonts w:ascii="黑体" w:eastAsia="黑体" w:hAnsi="宋体" w:cs="宋体"/>
          <w:kern w:val="0"/>
          <w:sz w:val="44"/>
          <w:szCs w:val="32"/>
        </w:rPr>
      </w:pPr>
      <w:r>
        <w:rPr>
          <w:rFonts w:ascii="黑体" w:eastAsia="黑体" w:hAnsi="宋体" w:cs="宋体" w:hint="eastAsia"/>
          <w:kern w:val="0"/>
          <w:sz w:val="44"/>
          <w:szCs w:val="32"/>
        </w:rPr>
        <w:lastRenderedPageBreak/>
        <w:t>说    明</w:t>
      </w:r>
    </w:p>
    <w:p w:rsidR="00590025" w:rsidRDefault="00590025" w:rsidP="00590025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一、《广东省教育强镇（乡、街道）督导验收方案</w:t>
      </w:r>
      <w:r>
        <w:rPr>
          <w:rFonts w:eastAsia="仿宋_GB2312" w:hint="eastAsia"/>
          <w:color w:val="000000"/>
          <w:kern w:val="0"/>
          <w:sz w:val="28"/>
          <w:szCs w:val="28"/>
        </w:rPr>
        <w:t>（修订）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》（以下简称《验收方案》），是根据国家和省有关教育政策、法规以及《广东省教育创强督导验收办法（修订）》制定的。</w:t>
      </w:r>
    </w:p>
    <w:p w:rsidR="00590025" w:rsidRDefault="00590025" w:rsidP="00590025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二、本《验收方案》既是申报教育强镇（乡、街道）（以下简称教育强镇）验收、复评的申报书，也可以作为年终工作自评报告书。</w:t>
      </w:r>
    </w:p>
    <w:p w:rsidR="00590025" w:rsidRDefault="00590025" w:rsidP="00590025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三、本《验收方案》包括六部分：（一）督导验收指标体系；（二）总评分统计表；（三）自评报告；（四）县、市审核推荐意见；（五）督导验收情况记录；（六）省人民政府教育督导室和省教育厅意见。其中自评报告独立成篇。</w:t>
      </w:r>
    </w:p>
    <w:p w:rsidR="00590025" w:rsidRDefault="00590025" w:rsidP="00590025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四、教育强镇督导验收满分为100分。得分85分以上、且必达指标（用黑体字标示）全部达标，为通过教育强镇督导验收。得分90分以上，且必达指标全部达标，为通过教育强镇复评验收。</w:t>
      </w:r>
    </w:p>
    <w:p w:rsidR="00590025" w:rsidRDefault="00590025" w:rsidP="00590025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五、督导验收指标体系评分具体操作请看《教育强镇督导验收指标评分操作说明》。</w:t>
      </w:r>
    </w:p>
    <w:p w:rsidR="00590025" w:rsidRDefault="00590025" w:rsidP="00590025">
      <w:pPr>
        <w:spacing w:line="560" w:lineRule="exact"/>
        <w:ind w:firstLine="555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六、本《验收方案》和《教育强镇督导验收指标评分操作说明》中的“高于”、“大于”、“以上”均含本数</w:t>
      </w:r>
      <w:r>
        <w:rPr>
          <w:rFonts w:ascii="仿宋_GB2312" w:eastAsia="仿宋_GB2312" w:hint="eastAsia"/>
          <w:kern w:val="0"/>
          <w:sz w:val="28"/>
          <w:szCs w:val="28"/>
        </w:rPr>
        <w:t>，“以下”不包含本数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。“逐年提高”是指近3年连续每年比上年有所提高。《督导验收指标体系》中的三级指标由若干个要素构成，两个要素以上的，一般用“；”隔开。</w:t>
      </w:r>
    </w:p>
    <w:p w:rsidR="00590025" w:rsidRDefault="00590025" w:rsidP="00590025">
      <w:pPr>
        <w:snapToGrid w:val="0"/>
        <w:spacing w:after="120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jc w:val="center"/>
        <w:rPr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lastRenderedPageBreak/>
        <w:t>（一）督导验收指标体系</w:t>
      </w:r>
    </w:p>
    <w:tbl>
      <w:tblPr>
        <w:tblW w:w="964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652"/>
        <w:gridCol w:w="6580"/>
        <w:gridCol w:w="620"/>
        <w:gridCol w:w="620"/>
        <w:gridCol w:w="580"/>
      </w:tblGrid>
      <w:tr w:rsidR="00590025" w:rsidTr="00654995">
        <w:trPr>
          <w:trHeight w:val="439"/>
          <w:tblHeader/>
        </w:trPr>
        <w:tc>
          <w:tcPr>
            <w:tcW w:w="59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一级指标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二级指标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三级指标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分值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自</w:t>
            </w:r>
          </w:p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评</w:t>
            </w:r>
          </w:p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他</w:t>
            </w:r>
          </w:p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评</w:t>
            </w:r>
          </w:p>
          <w:p w:rsidR="00590025" w:rsidRDefault="00590025" w:rsidP="00654995"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</w:t>
            </w:r>
          </w:p>
        </w:tc>
      </w:tr>
      <w:tr w:rsidR="0006666C" w:rsidTr="00637709">
        <w:trPr>
          <w:trHeight w:val="2028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一、政府责任</w:t>
            </w: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一、政府责任</w:t>
            </w:r>
          </w:p>
          <w:p w:rsidR="0006666C" w:rsidRDefault="0006666C" w:rsidP="00654995"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lastRenderedPageBreak/>
              <w:t>(</w:t>
            </w:r>
            <w:r>
              <w:rPr>
                <w:rFonts w:hAnsi="宋体"/>
                <w:kern w:val="0"/>
                <w:sz w:val="24"/>
              </w:rPr>
              <w:t>一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规划与机制</w:t>
            </w:r>
            <w:r>
              <w:rPr>
                <w:rFonts w:ascii="宋体" w:hAnsi="宋体"/>
                <w:kern w:val="0"/>
                <w:sz w:val="24"/>
              </w:rPr>
              <w:t>（</w:t>
            </w:r>
            <w:r>
              <w:rPr>
                <w:rFonts w:ascii="宋体" w:hAnsi="宋体" w:hint="eastAsia"/>
                <w:kern w:val="0"/>
                <w:sz w:val="24"/>
              </w:rPr>
              <w:t>18分）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1.1.1</w:t>
            </w:r>
            <w:r>
              <w:rPr>
                <w:rFonts w:hAnsi="宋体"/>
                <w:color w:val="000000"/>
                <w:kern w:val="0"/>
                <w:sz w:val="24"/>
              </w:rPr>
              <w:t>制定教育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Ansi="宋体"/>
                <w:color w:val="000000"/>
                <w:kern w:val="0"/>
                <w:sz w:val="24"/>
              </w:rPr>
              <w:t>创强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Ansi="宋体"/>
                <w:color w:val="000000"/>
                <w:kern w:val="0"/>
                <w:sz w:val="24"/>
              </w:rPr>
              <w:t>实施方案，积极推进教育强镇创建工作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建立健全镇党委政府教育领导体制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hAnsi="宋体"/>
                <w:color w:val="000000"/>
                <w:kern w:val="0"/>
                <w:sz w:val="24"/>
              </w:rPr>
              <w:t>镇党委、政府把教育工作作为镇、村及有关部门领导任期目标责任制和政绩考核的重要内容之一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hAnsi="宋体"/>
                <w:kern w:val="0"/>
                <w:sz w:val="24"/>
              </w:rPr>
              <w:t>解决教育改革与发展中的困难和问题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政府定期向同级人民代表大会报告教育工作情况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积极营造尊师重教的良好社会氛围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6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</w:rPr>
              <w:t>多渠道筹措教育创强经费，</w:t>
            </w:r>
            <w:r>
              <w:rPr>
                <w:rFonts w:hAnsi="宋体"/>
                <w:color w:val="000000"/>
                <w:kern w:val="0"/>
                <w:sz w:val="24"/>
              </w:rPr>
              <w:t>积极发动乡贤和社会各方面力量捐资助学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。</w:t>
            </w:r>
            <w:r>
              <w:rPr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817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1.1.3</w:t>
            </w:r>
            <w:r>
              <w:rPr>
                <w:rFonts w:hAnsi="宋体"/>
                <w:color w:val="000000"/>
                <w:kern w:val="0"/>
                <w:sz w:val="24"/>
              </w:rPr>
              <w:t>镇党委、政府积极解决镇内中小学新增建设用地和学校土地使用证等问题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，有土地使用证的学校比例逐年提高</w:t>
            </w:r>
            <w:r>
              <w:rPr>
                <w:rFonts w:hAnsi="宋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637709">
        <w:trPr>
          <w:trHeight w:val="889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1.1.4</w:t>
            </w:r>
            <w:r>
              <w:rPr>
                <w:rFonts w:hint="eastAsia"/>
                <w:color w:val="000000"/>
                <w:kern w:val="0"/>
                <w:sz w:val="24"/>
              </w:rPr>
              <w:t>依法履行职责，组织和督促适龄儿童、少年入学；帮助解决适龄儿童、少年由于经济、生活、行动等带来的入学困难。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7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2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1.1.5</w:t>
            </w:r>
            <w:r>
              <w:rPr>
                <w:rFonts w:hAnsi="宋体"/>
                <w:color w:val="000000"/>
                <w:kern w:val="0"/>
                <w:sz w:val="24"/>
              </w:rPr>
              <w:t>积极采取措施防止适龄儿童、少年辍学；辖区内企事业单位无违法招用应当接受义务教育的适龄儿童、少年的现象。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637709">
        <w:trPr>
          <w:trHeight w:val="121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扎实推进依法治校，全镇80%以上的中小学校实现“一校一章程”</w:t>
            </w:r>
            <w:r>
              <w:rPr>
                <w:rFonts w:hint="eastAsia"/>
                <w:b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依法维护和整治学校周边秩序，保护学生、教师、学校的合法权益，为学校提供安全保障和良好周边治安环境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190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二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改善办学条件（</w:t>
            </w:r>
            <w:r>
              <w:rPr>
                <w:rFonts w:hAnsi="宋体" w:hint="eastAsia"/>
                <w:kern w:val="0"/>
                <w:sz w:val="24"/>
              </w:rPr>
              <w:t>38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1.2.1</w:t>
            </w:r>
            <w:r>
              <w:rPr>
                <w:rFonts w:eastAsia="黑体"/>
                <w:color w:val="000000"/>
                <w:kern w:val="0"/>
                <w:sz w:val="24"/>
              </w:rPr>
              <w:t>中小学布局规划科学合理，布局调整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按时</w:t>
            </w:r>
            <w:r>
              <w:rPr>
                <w:rFonts w:eastAsia="黑体"/>
                <w:color w:val="000000"/>
                <w:kern w:val="0"/>
                <w:sz w:val="24"/>
              </w:rPr>
              <w:t>完成；</w:t>
            </w:r>
            <w:r>
              <w:rPr>
                <w:rFonts w:ascii="黑体" w:eastAsia="黑体" w:hint="eastAsia"/>
                <w:sz w:val="24"/>
              </w:rPr>
              <w:t>义务教育阶段普通中小学校中公办标准化学校覆盖率100%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民办标准化学校覆盖率60%以上</w:t>
            </w:r>
            <w:r w:rsidRPr="008C63E1">
              <w:rPr>
                <w:rFonts w:ascii="黑体" w:eastAsia="黑体" w:hint="eastAsia"/>
                <w:sz w:val="24"/>
              </w:rPr>
              <w:t>（教育强镇复评时达70%。如果没有达到70%以上，政府必须书面承诺2018年达到70%）；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平均班额小学不超过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45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人、初中不超过</w:t>
            </w:r>
            <w:r>
              <w:rPr>
                <w:rFonts w:eastAsia="黑体"/>
                <w:color w:val="000000"/>
                <w:kern w:val="0"/>
                <w:sz w:val="24"/>
              </w:rPr>
              <w:t>5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0</w:t>
            </w:r>
            <w:r>
              <w:rPr>
                <w:rFonts w:eastAsia="黑体"/>
                <w:color w:val="000000"/>
                <w:kern w:val="0"/>
                <w:sz w:val="24"/>
              </w:rPr>
              <w:t>人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，且起始年级小学</w:t>
            </w:r>
            <w:r>
              <w:rPr>
                <w:rFonts w:eastAsia="黑体"/>
                <w:color w:val="000000"/>
                <w:kern w:val="0"/>
                <w:sz w:val="24"/>
              </w:rPr>
              <w:t>无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51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人以上、初中无</w:t>
            </w:r>
            <w:r>
              <w:rPr>
                <w:rFonts w:eastAsia="黑体"/>
                <w:color w:val="000000"/>
                <w:kern w:val="0"/>
                <w:sz w:val="24"/>
              </w:rPr>
              <w:t>56</w:t>
            </w:r>
            <w:r>
              <w:rPr>
                <w:rFonts w:eastAsia="黑体"/>
                <w:color w:val="000000"/>
                <w:kern w:val="0"/>
                <w:sz w:val="24"/>
              </w:rPr>
              <w:t>人以上大班额现象。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72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1.2.2重视学校体育卫生艺术教育,中小学校体育卫生基本条件和艺术教育基本条件达标率均达到100%。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637709">
        <w:trPr>
          <w:trHeight w:val="1466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spacing w:line="360" w:lineRule="exact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1.2.3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中小学常规教学仪器设备达标率为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100%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；所有学校的实验开出率均达100%；中小学校按照规定每年补充符合师生实际需要的图书，并提高师生阅读率，新增图书比例不少于藏书标准的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1%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；生均图书册数小学达到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册以上，初中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25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册以上，高中40册以上。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135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二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改善办学条件（</w:t>
            </w:r>
            <w:r>
              <w:rPr>
                <w:rFonts w:hAnsi="宋体" w:hint="eastAsia"/>
                <w:kern w:val="0"/>
                <w:sz w:val="24"/>
              </w:rPr>
              <w:t>38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1.2.4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推进数字化校园建设，全部学校接通互联网；普通中小学校网络多媒体教室占总课室数不低于60%；100%教师配备专用教学用终端，</w:t>
            </w:r>
            <w:r>
              <w:rPr>
                <w:rFonts w:ascii="黑体" w:eastAsia="黑体" w:hAnsi="宋体" w:hint="eastAsia"/>
                <w:sz w:val="24"/>
              </w:rPr>
              <w:t>100名学生拥有学习终端不少于20台，100名学生以下的非完全小学、教学点按最大班额配备学习终端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；全部学校均将教师、学生、办学条件等数据及时录入系统，并同时更新到省市各级教育信息管理平台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F06B6E">
        <w:trPr>
          <w:trHeight w:val="1418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eastAsia="黑体"/>
                <w:color w:val="000000"/>
                <w:kern w:val="0"/>
                <w:sz w:val="24"/>
              </w:rPr>
              <w:t>2.5</w:t>
            </w:r>
            <w:r>
              <w:rPr>
                <w:rFonts w:eastAsia="黑体"/>
                <w:color w:val="000000"/>
                <w:kern w:val="0"/>
                <w:sz w:val="24"/>
              </w:rPr>
              <w:t>建成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1 </w:t>
            </w:r>
            <w:r>
              <w:rPr>
                <w:rFonts w:eastAsia="黑体"/>
                <w:color w:val="000000"/>
                <w:kern w:val="0"/>
                <w:sz w:val="24"/>
              </w:rPr>
              <w:t>所以上公办规范化乡镇中心幼儿园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，幼儿园有消防合格证明文件和收费备案表</w:t>
            </w:r>
            <w:r>
              <w:rPr>
                <w:rFonts w:eastAsia="黑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常住人口4000人以上的行政村有相对独立的幼儿园；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民办园基本达到设置标准要求，许可证办证率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100%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；规范化幼儿园比例达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50%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以上且逐年提高。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76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1.2.6.</w:t>
            </w:r>
            <w:r>
              <w:rPr>
                <w:rFonts w:eastAsia="黑体"/>
                <w:color w:val="000000"/>
                <w:kern w:val="0"/>
                <w:sz w:val="24"/>
              </w:rPr>
              <w:t>常住人口</w:t>
            </w:r>
            <w:r>
              <w:rPr>
                <w:rFonts w:eastAsia="黑体"/>
                <w:color w:val="000000"/>
                <w:kern w:val="0"/>
                <w:sz w:val="24"/>
              </w:rPr>
              <w:t>4</w:t>
            </w:r>
            <w:r>
              <w:rPr>
                <w:rFonts w:eastAsia="黑体"/>
                <w:color w:val="000000"/>
                <w:kern w:val="0"/>
                <w:sz w:val="24"/>
              </w:rPr>
              <w:t>万人以上的镇设立特殊教育随班就读资源课室。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F06B6E">
        <w:trPr>
          <w:trHeight w:val="469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1.2.7</w:t>
            </w:r>
            <w:r>
              <w:rPr>
                <w:rFonts w:hAnsi="宋体"/>
                <w:color w:val="000000"/>
                <w:kern w:val="0"/>
                <w:sz w:val="24"/>
              </w:rPr>
              <w:t>设立成人文化技术学校或社区教育中心；成人教育培训面逐年提高。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F06B6E">
        <w:trPr>
          <w:trHeight w:val="1003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1.2.8完善中小学校后勤服务保障体系。学校配置足够的符合安全、卫生、健康标准的食堂、浴室、学生宿舍、厕所等基本生活设施设备。配备安全饮用水供应设施。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 w:rsidR="0006666C" w:rsidTr="00F06B6E">
        <w:trPr>
          <w:trHeight w:val="113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三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师资队伍建设（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1.3.1按照省标准配齐配足幼儿园、中小学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教师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；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6个班以上的非完全小学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、教学点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按照小学编制标准配备教师，6个班以下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的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非完全小学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、教学点班均教师不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少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于1人；无代课教师。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1005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1.3.2义务教育阶段教师学科结构与中小学课程结构基本匹配，体育、音乐、美术、信息技术以及小学英语、科学等学科教师满足课程开设要求；学前教育教师资格证持证率达到80%，且逐年提高比例。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8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4.5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510"/>
        </w:trPr>
        <w:tc>
          <w:tcPr>
            <w:tcW w:w="59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二、教育管理</w:t>
            </w:r>
            <w:r>
              <w:rPr>
                <w:rFonts w:hAnsi="宋体" w:hint="eastAsia"/>
                <w:kern w:val="0"/>
                <w:sz w:val="24"/>
              </w:rPr>
              <w:t>与素质教育</w:t>
            </w: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二、教育管理</w:t>
            </w:r>
            <w:r>
              <w:rPr>
                <w:rFonts w:hAnsi="宋体" w:hint="eastAsia"/>
                <w:kern w:val="0"/>
                <w:sz w:val="24"/>
              </w:rPr>
              <w:t>与素质教育</w:t>
            </w: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rPr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四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规范办学行为</w:t>
            </w:r>
            <w:r>
              <w:rPr>
                <w:rFonts w:hAnsi="宋体" w:hint="eastAsia"/>
                <w:kern w:val="0"/>
                <w:sz w:val="24"/>
              </w:rPr>
              <w:t>与素质教育</w:t>
            </w:r>
            <w:r>
              <w:rPr>
                <w:rFonts w:hAnsi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22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 w:rsidR="0006666C" w:rsidRDefault="0006666C" w:rsidP="00654995"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四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规范办学行为</w:t>
            </w:r>
            <w:r>
              <w:rPr>
                <w:rFonts w:hAnsi="宋体" w:hint="eastAsia"/>
                <w:kern w:val="0"/>
                <w:sz w:val="24"/>
              </w:rPr>
              <w:t>与素质教育</w:t>
            </w:r>
          </w:p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22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lastRenderedPageBreak/>
              <w:t>2.4.1</w:t>
            </w:r>
            <w:r>
              <w:rPr>
                <w:rFonts w:eastAsia="黑体"/>
                <w:color w:val="000000"/>
                <w:kern w:val="0"/>
                <w:sz w:val="24"/>
              </w:rPr>
              <w:t>义务教育学校不设重点校和重点班。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761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2.4.2</w:t>
            </w:r>
            <w:r>
              <w:rPr>
                <w:rFonts w:eastAsia="黑体"/>
                <w:color w:val="000000"/>
                <w:kern w:val="0"/>
                <w:sz w:val="24"/>
              </w:rPr>
              <w:t>义务教育阶段学校实行免试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就近</w:t>
            </w:r>
            <w:r>
              <w:rPr>
                <w:rFonts w:eastAsia="黑体"/>
                <w:color w:val="000000"/>
                <w:kern w:val="0"/>
                <w:sz w:val="24"/>
              </w:rPr>
              <w:t>入学，无任何形式的选拔性考试行为。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705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2.4.3</w:t>
            </w:r>
            <w:r>
              <w:rPr>
                <w:rFonts w:eastAsia="黑体"/>
                <w:color w:val="000000"/>
                <w:kern w:val="0"/>
                <w:sz w:val="24"/>
              </w:rPr>
              <w:t>学校严格执行课程计划，开齐开足各科课程课时；无违规集体补课现象。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697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2.4.4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实行收费公示制度，</w:t>
            </w:r>
            <w:r>
              <w:rPr>
                <w:rFonts w:eastAsia="黑体"/>
                <w:color w:val="000000"/>
                <w:kern w:val="0"/>
                <w:sz w:val="24"/>
              </w:rPr>
              <w:t>严格执行教育收费规定</w:t>
            </w:r>
            <w:r>
              <w:rPr>
                <w:rFonts w:eastAsia="黑体"/>
                <w:color w:val="000000"/>
                <w:kern w:val="0"/>
                <w:sz w:val="24"/>
              </w:rPr>
              <w:t>,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近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1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年</w:t>
            </w:r>
            <w:r>
              <w:rPr>
                <w:rFonts w:eastAsia="黑体"/>
                <w:color w:val="000000"/>
                <w:kern w:val="0"/>
                <w:sz w:val="24"/>
              </w:rPr>
              <w:t>无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学校</w:t>
            </w:r>
            <w:r>
              <w:rPr>
                <w:rFonts w:eastAsia="黑体"/>
                <w:color w:val="000000"/>
                <w:kern w:val="0"/>
                <w:sz w:val="24"/>
              </w:rPr>
              <w:t>违规收费现象。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F06B6E">
        <w:trPr>
          <w:trHeight w:val="896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2.4.5按照省规定安排中小学作息时间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;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安排学生作业数量和内容符合国家和省的有关规定。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603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2.4.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Ansi="宋体"/>
                <w:color w:val="000000"/>
                <w:kern w:val="0"/>
                <w:sz w:val="24"/>
              </w:rPr>
              <w:t>中小学教师无违反《中小学教师职业道德规范》行为。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1993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2.4.</w:t>
            </w: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实施素质教育，不断深化教学改革，科学评价学生德智体美等全面发展状况；加强德育工作，德育工作队伍健全；</w:t>
            </w:r>
            <w:r>
              <w:rPr>
                <w:rFonts w:ascii="宋体" w:hAnsi="宋体" w:hint="eastAsia"/>
                <w:kern w:val="0"/>
                <w:sz w:val="24"/>
              </w:rPr>
              <w:t>把培育和践行社会主义核心价值观融入课堂教学、社会实践、校园文化、学校管理全过程；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重视中小学生安全教育和心理健康教育，开展学期初与学期末的安全教育周活动，采取积极措施排除学生心理障碍，无发生校方责任的学生伤害事故。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2.5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</w:p>
        </w:tc>
      </w:tr>
      <w:tr w:rsidR="0006666C" w:rsidTr="00E91E37">
        <w:trPr>
          <w:trHeight w:val="957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2.4.8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重视阳光体育运动，切实保证学生每天1小时校园体育锻炼时间；重视美育，培养学生良好的审美情趣和人文素养。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840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(五)</w:t>
            </w:r>
            <w:r>
              <w:rPr>
                <w:rFonts w:ascii="宋体" w:hAnsi="宋体" w:hint="eastAsia"/>
                <w:kern w:val="0"/>
                <w:sz w:val="24"/>
              </w:rPr>
              <w:t>办学成效</w:t>
            </w:r>
            <w:r>
              <w:rPr>
                <w:rFonts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b/>
                <w:color w:val="000000"/>
                <w:kern w:val="0"/>
                <w:sz w:val="24"/>
              </w:rPr>
              <w:t>2.5.1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中小学校学生年体检率达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100%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；学校全面落实新生入学查验预防接种证制度；学生晨检、因病缺课登记报告制度执行良好。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 w:rsidR="0006666C" w:rsidRDefault="0006666C" w:rsidP="00654995"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1198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b/>
                <w:color w:val="000000"/>
                <w:kern w:val="0"/>
                <w:sz w:val="24"/>
              </w:rPr>
              <w:t>2.5.2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学前教育普及水平不断提高，毛入园率达到</w:t>
            </w: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90%</w:t>
            </w: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以上；采取措施大力发展公办幼儿园、扶持普惠性民办幼儿园，公办幼儿园和普惠性民办幼儿园比例逐步提高。·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 w:rsidR="0006666C" w:rsidRDefault="0006666C" w:rsidP="00654995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691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2</w:t>
            </w:r>
            <w:r>
              <w:rPr>
                <w:rFonts w:eastAsia="黑体"/>
                <w:color w:val="000000"/>
                <w:kern w:val="0"/>
                <w:sz w:val="24"/>
              </w:rPr>
              <w:t>.5.3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义务教育普及水平进一步巩固，初中生年辍学率1.5%以下。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 w:rsidR="0006666C" w:rsidRDefault="0006666C" w:rsidP="00654995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6666C" w:rsidTr="00E91E37">
        <w:trPr>
          <w:trHeight w:val="1269"/>
        </w:trPr>
        <w:tc>
          <w:tcPr>
            <w:tcW w:w="594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left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.5.</w:t>
            </w:r>
            <w:r w:rsidRPr="008C63E1">
              <w:rPr>
                <w:kern w:val="0"/>
                <w:sz w:val="24"/>
              </w:rPr>
              <w:t>4</w:t>
            </w:r>
            <w:r w:rsidRPr="008C63E1">
              <w:rPr>
                <w:rFonts w:hAnsi="宋体" w:hint="eastAsia"/>
                <w:kern w:val="0"/>
                <w:sz w:val="24"/>
              </w:rPr>
              <w:t>学校全面实施《国家学生体质健康标准》，学校数据上报率达</w:t>
            </w:r>
            <w:r w:rsidRPr="008C63E1">
              <w:rPr>
                <w:rFonts w:hAnsi="宋体" w:hint="eastAsia"/>
                <w:kern w:val="0"/>
                <w:sz w:val="24"/>
              </w:rPr>
              <w:t>100%</w:t>
            </w:r>
            <w:r w:rsidRPr="008C63E1">
              <w:rPr>
                <w:rFonts w:hAnsi="宋体" w:hint="eastAsia"/>
                <w:kern w:val="0"/>
                <w:sz w:val="24"/>
              </w:rPr>
              <w:t>，学生体质健康每年</w:t>
            </w:r>
            <w:r w:rsidRPr="008C63E1">
              <w:rPr>
                <w:rFonts w:hAnsi="宋体" w:hint="eastAsia"/>
                <w:sz w:val="24"/>
              </w:rPr>
              <w:t>优良率达到</w:t>
            </w:r>
            <w:r w:rsidRPr="008C63E1">
              <w:rPr>
                <w:rFonts w:hAnsi="宋体" w:hint="eastAsia"/>
                <w:sz w:val="24"/>
              </w:rPr>
              <w:t>25%</w:t>
            </w:r>
            <w:r w:rsidRPr="008C63E1">
              <w:rPr>
                <w:rFonts w:hAnsi="宋体" w:hint="eastAsia"/>
                <w:sz w:val="24"/>
              </w:rPr>
              <w:t>，且合格率达到</w:t>
            </w:r>
            <w:r w:rsidRPr="008C63E1">
              <w:rPr>
                <w:rFonts w:hAnsi="宋体" w:hint="eastAsia"/>
                <w:sz w:val="24"/>
              </w:rPr>
              <w:t>93%</w:t>
            </w:r>
            <w:r w:rsidRPr="008C63E1">
              <w:rPr>
                <w:rFonts w:hAnsi="宋体" w:hint="eastAsia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06666C" w:rsidRDefault="0006666C" w:rsidP="00654995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 w:rsidR="0006666C" w:rsidRDefault="0006666C" w:rsidP="00654995"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590025" w:rsidRDefault="00590025" w:rsidP="00590025">
      <w:pPr>
        <w:snapToGrid w:val="0"/>
        <w:spacing w:after="120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rPr>
          <w:rFonts w:ascii="黑体" w:eastAsia="黑体" w:hAnsi="宋体" w:cs="宋体"/>
          <w:kern w:val="0"/>
          <w:sz w:val="36"/>
          <w:szCs w:val="36"/>
        </w:rPr>
      </w:pPr>
    </w:p>
    <w:p w:rsidR="00590025" w:rsidRDefault="00590025" w:rsidP="00590025">
      <w:pPr>
        <w:snapToGrid w:val="0"/>
        <w:spacing w:after="120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（二）总评分统计表</w:t>
      </w:r>
    </w:p>
    <w:tbl>
      <w:tblPr>
        <w:tblW w:w="8647" w:type="dxa"/>
        <w:tblInd w:w="28" w:type="dxa"/>
        <w:tblLayout w:type="fixed"/>
        <w:tblLook w:val="04A0"/>
      </w:tblPr>
      <w:tblGrid>
        <w:gridCol w:w="1800"/>
        <w:gridCol w:w="2594"/>
        <w:gridCol w:w="1160"/>
        <w:gridCol w:w="1534"/>
        <w:gridCol w:w="1559"/>
      </w:tblGrid>
      <w:tr w:rsidR="00590025" w:rsidTr="00654995">
        <w:trPr>
          <w:trHeight w:val="458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分值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得分</w:t>
            </w:r>
          </w:p>
        </w:tc>
      </w:tr>
      <w:tr w:rsidR="00590025" w:rsidTr="00654995">
        <w:trPr>
          <w:trHeight w:val="45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自评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他评</w:t>
            </w:r>
          </w:p>
        </w:tc>
      </w:tr>
      <w:tr w:rsidR="00590025" w:rsidTr="00654995">
        <w:trPr>
          <w:trHeight w:val="851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一、政府责任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（一）规划与机制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6"/>
                <w:szCs w:val="26"/>
              </w:rPr>
              <w:t>18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  <w:r w:rsidR="0006666C">
              <w:rPr>
                <w:rFonts w:hint="eastAsia"/>
                <w:kern w:val="0"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</w:p>
        </w:tc>
      </w:tr>
      <w:tr w:rsidR="00590025" w:rsidTr="00654995">
        <w:trPr>
          <w:trHeight w:val="851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（二）改善办学条件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6"/>
                <w:szCs w:val="26"/>
              </w:rPr>
              <w:t>38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  <w:r w:rsidR="0006666C">
              <w:rPr>
                <w:rFonts w:hint="eastAsia"/>
                <w:kern w:val="0"/>
                <w:sz w:val="26"/>
                <w:szCs w:val="26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</w:p>
        </w:tc>
      </w:tr>
      <w:tr w:rsidR="00590025" w:rsidTr="00654995">
        <w:trPr>
          <w:trHeight w:val="851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（三）师资队伍建设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  <w:r w:rsidR="0006666C">
              <w:rPr>
                <w:rFonts w:hint="eastAsia"/>
                <w:kern w:val="0"/>
                <w:sz w:val="26"/>
                <w:szCs w:val="26"/>
              </w:rPr>
              <w:t>9.5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</w:p>
        </w:tc>
      </w:tr>
      <w:tr w:rsidR="00590025" w:rsidTr="00654995">
        <w:trPr>
          <w:trHeight w:val="851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二、教育管理与素质教育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（四）规范办学行为与素质教育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22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  <w:r w:rsidR="0006666C">
              <w:rPr>
                <w:rFonts w:hint="eastAsia"/>
                <w:kern w:val="0"/>
                <w:sz w:val="26"/>
                <w:szCs w:val="26"/>
              </w:rPr>
              <w:t>21.5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</w:p>
        </w:tc>
      </w:tr>
      <w:tr w:rsidR="00590025" w:rsidTr="00654995">
        <w:trPr>
          <w:trHeight w:val="851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（五）办学成效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06666C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6"/>
                <w:szCs w:val="26"/>
              </w:rPr>
              <w:t>8</w:t>
            </w:r>
            <w:r w:rsidR="00590025">
              <w:rPr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 xml:space="preserve">　</w:t>
            </w:r>
          </w:p>
        </w:tc>
      </w:tr>
      <w:tr w:rsidR="00590025" w:rsidTr="00654995">
        <w:trPr>
          <w:trHeight w:val="612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center"/>
              <w:rPr>
                <w:rFonts w:ascii="黑体" w:eastAsia="黑体" w:hAnsi="宋体" w:cs="宋体"/>
                <w:kern w:val="0"/>
                <w:sz w:val="26"/>
                <w:szCs w:val="26"/>
              </w:rPr>
            </w:pPr>
            <w:r>
              <w:rPr>
                <w:rFonts w:ascii="黑体" w:eastAsia="黑体" w:hAnsi="宋体" w:cs="宋体" w:hint="eastAsia"/>
                <w:kern w:val="0"/>
                <w:sz w:val="26"/>
                <w:szCs w:val="26"/>
              </w:rPr>
              <w:t>督导验收指标得分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　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90025" w:rsidRDefault="0006666C" w:rsidP="0006666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90025" w:rsidRDefault="00590025" w:rsidP="0065499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　</w:t>
            </w:r>
          </w:p>
        </w:tc>
      </w:tr>
    </w:tbl>
    <w:p w:rsidR="00590025" w:rsidRDefault="00590025" w:rsidP="00590025"/>
    <w:p w:rsidR="00590025" w:rsidRDefault="00590025" w:rsidP="00590025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（三）自评报告</w:t>
      </w:r>
    </w:p>
    <w:tbl>
      <w:tblPr>
        <w:tblW w:w="8666" w:type="dxa"/>
        <w:tblInd w:w="89" w:type="dxa"/>
        <w:tblLayout w:type="fixed"/>
        <w:tblLook w:val="04A0"/>
      </w:tblPr>
      <w:tblGrid>
        <w:gridCol w:w="8666"/>
      </w:tblGrid>
      <w:tr w:rsidR="00590025" w:rsidTr="00654995">
        <w:trPr>
          <w:trHeight w:val="4368"/>
        </w:trPr>
        <w:tc>
          <w:tcPr>
            <w:tcW w:w="86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自评报告另页</w:t>
            </w:r>
          </w:p>
        </w:tc>
      </w:tr>
    </w:tbl>
    <w:p w:rsidR="00590025" w:rsidRDefault="00590025" w:rsidP="00590025"/>
    <w:p w:rsidR="00590025" w:rsidRDefault="00590025" w:rsidP="00590025"/>
    <w:p w:rsidR="00590025" w:rsidRDefault="00590025" w:rsidP="00590025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（四）审核推荐意见</w:t>
      </w:r>
    </w:p>
    <w:p w:rsidR="00590025" w:rsidRDefault="00590025" w:rsidP="00590025">
      <w:pPr>
        <w:jc w:val="center"/>
        <w:rPr>
          <w:sz w:val="36"/>
          <w:szCs w:val="36"/>
        </w:rPr>
      </w:pPr>
    </w:p>
    <w:tbl>
      <w:tblPr>
        <w:tblW w:w="8808" w:type="dxa"/>
        <w:tblInd w:w="89" w:type="dxa"/>
        <w:tblLayout w:type="fixed"/>
        <w:tblLook w:val="04A0"/>
      </w:tblPr>
      <w:tblGrid>
        <w:gridCol w:w="8808"/>
      </w:tblGrid>
      <w:tr w:rsidR="00590025" w:rsidTr="00654995">
        <w:trPr>
          <w:trHeight w:val="4478"/>
        </w:trPr>
        <w:tc>
          <w:tcPr>
            <w:tcW w:w="8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县（市、区）政府推荐意见：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经审核，     镇（乡、街道）教育强镇督导验收指标自评分为    分，同时其申报材料及其他各项要求均达到教育强镇（乡、街道）的标准，同意推荐    镇（乡、街道）申报教育强镇（乡、街道）。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　单位(章）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年  月  日</w:t>
            </w:r>
          </w:p>
          <w:p w:rsidR="00590025" w:rsidRDefault="00590025" w:rsidP="0065499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590025" w:rsidRDefault="00590025" w:rsidP="00590025"/>
    <w:p w:rsidR="00590025" w:rsidRDefault="00590025" w:rsidP="00590025"/>
    <w:tbl>
      <w:tblPr>
        <w:tblW w:w="8808" w:type="dxa"/>
        <w:tblInd w:w="89" w:type="dxa"/>
        <w:tblLayout w:type="fixed"/>
        <w:tblLook w:val="04A0"/>
      </w:tblPr>
      <w:tblGrid>
        <w:gridCol w:w="8808"/>
      </w:tblGrid>
      <w:tr w:rsidR="00590025" w:rsidTr="00654995">
        <w:trPr>
          <w:trHeight w:val="5263"/>
        </w:trPr>
        <w:tc>
          <w:tcPr>
            <w:tcW w:w="8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地市教育局审核推荐意见：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590025" w:rsidRDefault="00590025" w:rsidP="00654995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经审核，     镇（乡、街道）教育强镇督导验收指标自评分为    分，    市教育局审核评分为      分，同时其申报材料及其他各项要求均达到教育强镇（乡、街道）的标准，同意推荐    镇（乡、街道）申报教育强镇（乡、街道）。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590025" w:rsidRDefault="00590025" w:rsidP="0065499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　单位(章）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年  月  日</w:t>
            </w:r>
          </w:p>
          <w:p w:rsidR="00590025" w:rsidRDefault="00590025" w:rsidP="0065499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</w:tbl>
    <w:p w:rsidR="00590025" w:rsidRDefault="00590025" w:rsidP="00590025"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590025" w:rsidRDefault="00590025" w:rsidP="00590025"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590025" w:rsidRDefault="00590025" w:rsidP="00590025">
      <w:pPr>
        <w:spacing w:line="48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（五）督导验收情况记录</w:t>
      </w:r>
    </w:p>
    <w:p w:rsidR="00590025" w:rsidRDefault="00590025" w:rsidP="00590025">
      <w:pPr>
        <w:snapToGrid w:val="0"/>
        <w:spacing w:line="240" w:lineRule="exact"/>
        <w:jc w:val="center"/>
        <w:rPr>
          <w:rFonts w:ascii="方正小标宋简体" w:eastAsia="方正小标宋简体" w:hAnsi="华文中宋"/>
          <w:bCs/>
          <w:color w:val="000000"/>
          <w:sz w:val="36"/>
          <w:szCs w:val="36"/>
        </w:rPr>
      </w:pPr>
    </w:p>
    <w:tbl>
      <w:tblPr>
        <w:tblW w:w="8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0"/>
      </w:tblGrid>
      <w:tr w:rsidR="00590025" w:rsidTr="00654995">
        <w:trPr>
          <w:trHeight w:val="4698"/>
        </w:trPr>
        <w:tc>
          <w:tcPr>
            <w:tcW w:w="8940" w:type="dxa"/>
            <w:vAlign w:val="center"/>
          </w:tcPr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督前检查意见（可另页）：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督前检查人员（签名）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年   月   日</w:t>
            </w:r>
          </w:p>
        </w:tc>
      </w:tr>
    </w:tbl>
    <w:p w:rsidR="00590025" w:rsidRDefault="00590025" w:rsidP="00590025"/>
    <w:tbl>
      <w:tblPr>
        <w:tblW w:w="8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0"/>
      </w:tblGrid>
      <w:tr w:rsidR="00590025" w:rsidTr="00654995">
        <w:trPr>
          <w:trHeight w:val="4993"/>
        </w:trPr>
        <w:tc>
          <w:tcPr>
            <w:tcW w:w="8940" w:type="dxa"/>
            <w:vAlign w:val="center"/>
          </w:tcPr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督导验收意见（可另页）：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正式验收人员（签名）组  长：</w:t>
            </w: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副组长：</w:t>
            </w:r>
          </w:p>
          <w:p w:rsidR="00590025" w:rsidRDefault="00590025" w:rsidP="006549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组  员：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年   月   日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90025" w:rsidRDefault="00590025" w:rsidP="00590025"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590025" w:rsidRDefault="00590025" w:rsidP="00590025"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590025" w:rsidRDefault="00590025" w:rsidP="00590025">
      <w:pPr>
        <w:snapToGrid w:val="0"/>
        <w:jc w:val="center"/>
        <w:rPr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lastRenderedPageBreak/>
        <w:t>（六）省人民政府教育督导室和省教育厅意见</w:t>
      </w:r>
    </w:p>
    <w:p w:rsidR="00590025" w:rsidRDefault="00590025" w:rsidP="00590025"/>
    <w:tbl>
      <w:tblPr>
        <w:tblW w:w="8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0"/>
      </w:tblGrid>
      <w:tr w:rsidR="00590025" w:rsidTr="00654995">
        <w:trPr>
          <w:trHeight w:val="4735"/>
        </w:trPr>
        <w:tc>
          <w:tcPr>
            <w:tcW w:w="8940" w:type="dxa"/>
            <w:vAlign w:val="center"/>
          </w:tcPr>
          <w:p w:rsidR="00590025" w:rsidRDefault="00590025" w:rsidP="00654995">
            <w:pPr>
              <w:widowControl/>
              <w:ind w:firstLineChars="200" w:firstLine="52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省人民政府教育督导室意见：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   单位(章）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  年   月   日 </w:t>
            </w:r>
          </w:p>
          <w:p w:rsidR="00590025" w:rsidRDefault="00590025" w:rsidP="00654995">
            <w:pPr>
              <w:widowControl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</w:tbl>
    <w:p w:rsidR="00590025" w:rsidRDefault="00590025" w:rsidP="00590025">
      <w:pPr>
        <w:snapToGrid w:val="0"/>
        <w:spacing w:line="240" w:lineRule="exact"/>
      </w:pPr>
    </w:p>
    <w:p w:rsidR="00590025" w:rsidRDefault="00590025" w:rsidP="00590025">
      <w:pPr>
        <w:snapToGrid w:val="0"/>
        <w:spacing w:line="240" w:lineRule="exact"/>
      </w:pPr>
    </w:p>
    <w:tbl>
      <w:tblPr>
        <w:tblW w:w="8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0"/>
      </w:tblGrid>
      <w:tr w:rsidR="00590025" w:rsidTr="00654995">
        <w:trPr>
          <w:trHeight w:val="5598"/>
        </w:trPr>
        <w:tc>
          <w:tcPr>
            <w:tcW w:w="8940" w:type="dxa"/>
            <w:vAlign w:val="center"/>
          </w:tcPr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</w:t>
            </w:r>
          </w:p>
          <w:p w:rsidR="00590025" w:rsidRDefault="00590025" w:rsidP="00654995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省教育厅</w:t>
            </w: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意见：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90025" w:rsidRDefault="00590025" w:rsidP="00654995">
            <w:pPr>
              <w:widowControl/>
              <w:ind w:firstLineChars="2200" w:firstLine="572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>单位(章）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  年   月   日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                                          </w:t>
            </w:r>
          </w:p>
          <w:p w:rsidR="00590025" w:rsidRDefault="00590025" w:rsidP="00654995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A2DEE" w:rsidRDefault="00BA2DEE" w:rsidP="00590025">
      <w:pPr>
        <w:spacing w:line="700" w:lineRule="exact"/>
        <w:jc w:val="center"/>
        <w:rPr>
          <w:rFonts w:ascii="仿宋_GB2312" w:eastAsia="仿宋_GB2312" w:hint="eastAsia"/>
          <w:color w:val="000000"/>
          <w:sz w:val="32"/>
          <w:szCs w:val="32"/>
        </w:rPr>
      </w:pPr>
    </w:p>
    <w:sectPr w:rsidR="00BA2DEE">
      <w:footerReference w:type="even" r:id="rId6"/>
      <w:footerReference w:type="default" r:id="rId7"/>
      <w:pgSz w:w="11906" w:h="16838"/>
      <w:pgMar w:top="2098" w:right="1474" w:bottom="1985" w:left="1588" w:header="851" w:footer="1588" w:gutter="0"/>
      <w:pgNumType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DEE" w:rsidRDefault="00BA2DEE" w:rsidP="008F72B2">
      <w:r>
        <w:separator/>
      </w:r>
    </w:p>
  </w:endnote>
  <w:endnote w:type="continuationSeparator" w:id="0">
    <w:p w:rsidR="00BA2DEE" w:rsidRDefault="00BA2DEE" w:rsidP="008F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hakuyoxingshu7000"/>
    <w:charset w:val="86"/>
    <w:family w:val="auto"/>
    <w:pitch w:val="default"/>
    <w:sig w:usb0="00000000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2DEE">
    <w:pPr>
      <w:pStyle w:val="aa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BA2DEE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2DEE">
    <w:pPr>
      <w:pStyle w:val="aa"/>
      <w:framePr w:wrap="around" w:vAnchor="text" w:hAnchor="margin" w:xAlign="outside" w:y="1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06666C">
      <w:rPr>
        <w:rStyle w:val="a4"/>
        <w:noProof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000000" w:rsidRDefault="00BA2DEE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DEE" w:rsidRDefault="00BA2DEE" w:rsidP="008F72B2">
      <w:r>
        <w:separator/>
      </w:r>
    </w:p>
  </w:footnote>
  <w:footnote w:type="continuationSeparator" w:id="0">
    <w:p w:rsidR="00BA2DEE" w:rsidRDefault="00BA2DEE" w:rsidP="008F7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6B09"/>
    <w:rsid w:val="00004107"/>
    <w:rsid w:val="00010374"/>
    <w:rsid w:val="0003405A"/>
    <w:rsid w:val="0004671A"/>
    <w:rsid w:val="0004793F"/>
    <w:rsid w:val="00053354"/>
    <w:rsid w:val="00055A96"/>
    <w:rsid w:val="00055C43"/>
    <w:rsid w:val="00057B0B"/>
    <w:rsid w:val="0006666C"/>
    <w:rsid w:val="00072C9B"/>
    <w:rsid w:val="000830BD"/>
    <w:rsid w:val="00086DC0"/>
    <w:rsid w:val="000877C7"/>
    <w:rsid w:val="00087DDA"/>
    <w:rsid w:val="0009216E"/>
    <w:rsid w:val="00095695"/>
    <w:rsid w:val="00097FB5"/>
    <w:rsid w:val="000A32A0"/>
    <w:rsid w:val="000A4C50"/>
    <w:rsid w:val="000A5BA8"/>
    <w:rsid w:val="000B04A8"/>
    <w:rsid w:val="000B58B2"/>
    <w:rsid w:val="000B713F"/>
    <w:rsid w:val="000C2A11"/>
    <w:rsid w:val="000C32C8"/>
    <w:rsid w:val="000C357B"/>
    <w:rsid w:val="000C4511"/>
    <w:rsid w:val="000C4779"/>
    <w:rsid w:val="000D00AC"/>
    <w:rsid w:val="000D7897"/>
    <w:rsid w:val="000E2714"/>
    <w:rsid w:val="000E325F"/>
    <w:rsid w:val="000E6006"/>
    <w:rsid w:val="000F7EDD"/>
    <w:rsid w:val="001437CC"/>
    <w:rsid w:val="00145C04"/>
    <w:rsid w:val="00162D66"/>
    <w:rsid w:val="001679CD"/>
    <w:rsid w:val="0017116E"/>
    <w:rsid w:val="001730FF"/>
    <w:rsid w:val="00175FFB"/>
    <w:rsid w:val="00180EDF"/>
    <w:rsid w:val="001855A3"/>
    <w:rsid w:val="00186E5B"/>
    <w:rsid w:val="001B09A3"/>
    <w:rsid w:val="001B0EB8"/>
    <w:rsid w:val="001B47BF"/>
    <w:rsid w:val="001B510A"/>
    <w:rsid w:val="001B6588"/>
    <w:rsid w:val="001C38DC"/>
    <w:rsid w:val="001C43D1"/>
    <w:rsid w:val="001D1941"/>
    <w:rsid w:val="001D4914"/>
    <w:rsid w:val="001E4E49"/>
    <w:rsid w:val="001E5F88"/>
    <w:rsid w:val="001E7043"/>
    <w:rsid w:val="0020329C"/>
    <w:rsid w:val="00203A51"/>
    <w:rsid w:val="00204011"/>
    <w:rsid w:val="00210A60"/>
    <w:rsid w:val="002256CB"/>
    <w:rsid w:val="002430CB"/>
    <w:rsid w:val="00245C85"/>
    <w:rsid w:val="00254E58"/>
    <w:rsid w:val="002553C1"/>
    <w:rsid w:val="002602EF"/>
    <w:rsid w:val="00272823"/>
    <w:rsid w:val="002872C6"/>
    <w:rsid w:val="002918C3"/>
    <w:rsid w:val="002956FD"/>
    <w:rsid w:val="002A1A6B"/>
    <w:rsid w:val="002B2A85"/>
    <w:rsid w:val="002B36FF"/>
    <w:rsid w:val="002C1980"/>
    <w:rsid w:val="002C1A30"/>
    <w:rsid w:val="002C79FB"/>
    <w:rsid w:val="002D225A"/>
    <w:rsid w:val="002D2F5D"/>
    <w:rsid w:val="002D4679"/>
    <w:rsid w:val="002D505C"/>
    <w:rsid w:val="002F13AA"/>
    <w:rsid w:val="002F4A3C"/>
    <w:rsid w:val="0030483A"/>
    <w:rsid w:val="00304E7A"/>
    <w:rsid w:val="003161CA"/>
    <w:rsid w:val="00320124"/>
    <w:rsid w:val="0033207C"/>
    <w:rsid w:val="003330E6"/>
    <w:rsid w:val="0034178B"/>
    <w:rsid w:val="0034383A"/>
    <w:rsid w:val="00352C34"/>
    <w:rsid w:val="003534CA"/>
    <w:rsid w:val="00354499"/>
    <w:rsid w:val="0036306A"/>
    <w:rsid w:val="003672C8"/>
    <w:rsid w:val="003679D1"/>
    <w:rsid w:val="00393FB0"/>
    <w:rsid w:val="00396D78"/>
    <w:rsid w:val="003B5D33"/>
    <w:rsid w:val="003D497F"/>
    <w:rsid w:val="003F586B"/>
    <w:rsid w:val="00402CEC"/>
    <w:rsid w:val="00406A98"/>
    <w:rsid w:val="004135AE"/>
    <w:rsid w:val="004211C9"/>
    <w:rsid w:val="00425EB8"/>
    <w:rsid w:val="00440962"/>
    <w:rsid w:val="004539B7"/>
    <w:rsid w:val="004549CC"/>
    <w:rsid w:val="0046579C"/>
    <w:rsid w:val="00467CA2"/>
    <w:rsid w:val="004772AD"/>
    <w:rsid w:val="00481E5E"/>
    <w:rsid w:val="00482C8E"/>
    <w:rsid w:val="00494F0F"/>
    <w:rsid w:val="0049554D"/>
    <w:rsid w:val="00497F09"/>
    <w:rsid w:val="004A28A5"/>
    <w:rsid w:val="004B2EB9"/>
    <w:rsid w:val="004B4C7A"/>
    <w:rsid w:val="004B7457"/>
    <w:rsid w:val="004D7BFC"/>
    <w:rsid w:val="00511A4E"/>
    <w:rsid w:val="0052014E"/>
    <w:rsid w:val="00520FA0"/>
    <w:rsid w:val="005377A0"/>
    <w:rsid w:val="005429B8"/>
    <w:rsid w:val="00546A70"/>
    <w:rsid w:val="005557D3"/>
    <w:rsid w:val="00555BE2"/>
    <w:rsid w:val="00556538"/>
    <w:rsid w:val="00556A28"/>
    <w:rsid w:val="00557171"/>
    <w:rsid w:val="00557CE5"/>
    <w:rsid w:val="00562706"/>
    <w:rsid w:val="005659A7"/>
    <w:rsid w:val="005722B4"/>
    <w:rsid w:val="00574C9E"/>
    <w:rsid w:val="00586AF0"/>
    <w:rsid w:val="00590025"/>
    <w:rsid w:val="00594A50"/>
    <w:rsid w:val="00597235"/>
    <w:rsid w:val="00597CE8"/>
    <w:rsid w:val="005A159B"/>
    <w:rsid w:val="005A500E"/>
    <w:rsid w:val="005B2C0D"/>
    <w:rsid w:val="005B5892"/>
    <w:rsid w:val="005C06B5"/>
    <w:rsid w:val="005C32ED"/>
    <w:rsid w:val="005C707A"/>
    <w:rsid w:val="005C7C95"/>
    <w:rsid w:val="005D2DBE"/>
    <w:rsid w:val="005D4BEB"/>
    <w:rsid w:val="005D6835"/>
    <w:rsid w:val="005E619E"/>
    <w:rsid w:val="005F104B"/>
    <w:rsid w:val="005F1A12"/>
    <w:rsid w:val="0060020C"/>
    <w:rsid w:val="006027CB"/>
    <w:rsid w:val="00602B1A"/>
    <w:rsid w:val="00602F84"/>
    <w:rsid w:val="0061537A"/>
    <w:rsid w:val="00624953"/>
    <w:rsid w:val="006267A0"/>
    <w:rsid w:val="00627149"/>
    <w:rsid w:val="006372B4"/>
    <w:rsid w:val="00674F73"/>
    <w:rsid w:val="00684DE4"/>
    <w:rsid w:val="00694671"/>
    <w:rsid w:val="006A2DA1"/>
    <w:rsid w:val="006B0153"/>
    <w:rsid w:val="006B32B9"/>
    <w:rsid w:val="006C236E"/>
    <w:rsid w:val="006C69E7"/>
    <w:rsid w:val="006D181B"/>
    <w:rsid w:val="006E120A"/>
    <w:rsid w:val="006F3B5D"/>
    <w:rsid w:val="006F5212"/>
    <w:rsid w:val="00712C67"/>
    <w:rsid w:val="00725C20"/>
    <w:rsid w:val="007465A1"/>
    <w:rsid w:val="007472FD"/>
    <w:rsid w:val="007475C5"/>
    <w:rsid w:val="007526BC"/>
    <w:rsid w:val="007557EF"/>
    <w:rsid w:val="00757F55"/>
    <w:rsid w:val="007601DE"/>
    <w:rsid w:val="00764A25"/>
    <w:rsid w:val="00792A86"/>
    <w:rsid w:val="00793077"/>
    <w:rsid w:val="00796C8D"/>
    <w:rsid w:val="007A0495"/>
    <w:rsid w:val="007A0F29"/>
    <w:rsid w:val="007A2B23"/>
    <w:rsid w:val="007A4148"/>
    <w:rsid w:val="007A6686"/>
    <w:rsid w:val="007B6FB0"/>
    <w:rsid w:val="007B70AA"/>
    <w:rsid w:val="007C3FE5"/>
    <w:rsid w:val="007C4378"/>
    <w:rsid w:val="007D0BE7"/>
    <w:rsid w:val="007D3DDB"/>
    <w:rsid w:val="007D445C"/>
    <w:rsid w:val="007D45E8"/>
    <w:rsid w:val="007E0B5A"/>
    <w:rsid w:val="007E0EBF"/>
    <w:rsid w:val="007E7003"/>
    <w:rsid w:val="00803243"/>
    <w:rsid w:val="0081264D"/>
    <w:rsid w:val="00824730"/>
    <w:rsid w:val="00830917"/>
    <w:rsid w:val="0083492F"/>
    <w:rsid w:val="0084343D"/>
    <w:rsid w:val="00855A1C"/>
    <w:rsid w:val="008572C5"/>
    <w:rsid w:val="00861B89"/>
    <w:rsid w:val="00870E93"/>
    <w:rsid w:val="00881CDB"/>
    <w:rsid w:val="00883EFE"/>
    <w:rsid w:val="00892978"/>
    <w:rsid w:val="008A748C"/>
    <w:rsid w:val="008B0000"/>
    <w:rsid w:val="008C1A5B"/>
    <w:rsid w:val="008C5311"/>
    <w:rsid w:val="008C6820"/>
    <w:rsid w:val="008D0B42"/>
    <w:rsid w:val="008D6D20"/>
    <w:rsid w:val="008D7FC4"/>
    <w:rsid w:val="008E3899"/>
    <w:rsid w:val="008F05C5"/>
    <w:rsid w:val="008F480C"/>
    <w:rsid w:val="008F4BE4"/>
    <w:rsid w:val="0090367E"/>
    <w:rsid w:val="00907B75"/>
    <w:rsid w:val="00907E93"/>
    <w:rsid w:val="00913976"/>
    <w:rsid w:val="00923F80"/>
    <w:rsid w:val="00927F13"/>
    <w:rsid w:val="00931283"/>
    <w:rsid w:val="00941AB2"/>
    <w:rsid w:val="00945431"/>
    <w:rsid w:val="009472AF"/>
    <w:rsid w:val="00947E52"/>
    <w:rsid w:val="00960C4E"/>
    <w:rsid w:val="00974DEE"/>
    <w:rsid w:val="009831DF"/>
    <w:rsid w:val="00991D47"/>
    <w:rsid w:val="009A2AEB"/>
    <w:rsid w:val="009A3D2B"/>
    <w:rsid w:val="009A3FAE"/>
    <w:rsid w:val="009C194B"/>
    <w:rsid w:val="009C613C"/>
    <w:rsid w:val="009C613E"/>
    <w:rsid w:val="009D4EF8"/>
    <w:rsid w:val="009D6AEF"/>
    <w:rsid w:val="009D715A"/>
    <w:rsid w:val="00A14331"/>
    <w:rsid w:val="00A14494"/>
    <w:rsid w:val="00A16DDB"/>
    <w:rsid w:val="00A233EC"/>
    <w:rsid w:val="00A31A2D"/>
    <w:rsid w:val="00A3781B"/>
    <w:rsid w:val="00A378DF"/>
    <w:rsid w:val="00A44EE2"/>
    <w:rsid w:val="00A46FFA"/>
    <w:rsid w:val="00A51599"/>
    <w:rsid w:val="00A60CA8"/>
    <w:rsid w:val="00A648EA"/>
    <w:rsid w:val="00A7730D"/>
    <w:rsid w:val="00A808AE"/>
    <w:rsid w:val="00A85970"/>
    <w:rsid w:val="00A92F36"/>
    <w:rsid w:val="00A94C17"/>
    <w:rsid w:val="00AB0CA7"/>
    <w:rsid w:val="00AC07B6"/>
    <w:rsid w:val="00AC5326"/>
    <w:rsid w:val="00AE0DD3"/>
    <w:rsid w:val="00AE31B0"/>
    <w:rsid w:val="00AF4B6B"/>
    <w:rsid w:val="00AF6BC6"/>
    <w:rsid w:val="00B14B70"/>
    <w:rsid w:val="00B1655E"/>
    <w:rsid w:val="00B169BD"/>
    <w:rsid w:val="00B169FC"/>
    <w:rsid w:val="00B31D66"/>
    <w:rsid w:val="00B34DB5"/>
    <w:rsid w:val="00B41526"/>
    <w:rsid w:val="00B45243"/>
    <w:rsid w:val="00B515E5"/>
    <w:rsid w:val="00B51D3A"/>
    <w:rsid w:val="00B52E50"/>
    <w:rsid w:val="00B60B01"/>
    <w:rsid w:val="00B611B0"/>
    <w:rsid w:val="00B65605"/>
    <w:rsid w:val="00B65627"/>
    <w:rsid w:val="00B658C1"/>
    <w:rsid w:val="00B675AF"/>
    <w:rsid w:val="00B71A40"/>
    <w:rsid w:val="00B73F29"/>
    <w:rsid w:val="00B86E74"/>
    <w:rsid w:val="00B9475A"/>
    <w:rsid w:val="00B957FB"/>
    <w:rsid w:val="00B96467"/>
    <w:rsid w:val="00BA0CC7"/>
    <w:rsid w:val="00BA2DEE"/>
    <w:rsid w:val="00BA6740"/>
    <w:rsid w:val="00BC0434"/>
    <w:rsid w:val="00BC4F9C"/>
    <w:rsid w:val="00BD444B"/>
    <w:rsid w:val="00BE1DF0"/>
    <w:rsid w:val="00BE33B1"/>
    <w:rsid w:val="00BE3880"/>
    <w:rsid w:val="00BE5951"/>
    <w:rsid w:val="00BF0471"/>
    <w:rsid w:val="00BF0AD0"/>
    <w:rsid w:val="00BF1A86"/>
    <w:rsid w:val="00BF2623"/>
    <w:rsid w:val="00C03327"/>
    <w:rsid w:val="00C1739E"/>
    <w:rsid w:val="00C2335E"/>
    <w:rsid w:val="00C23F82"/>
    <w:rsid w:val="00C25892"/>
    <w:rsid w:val="00C30AD9"/>
    <w:rsid w:val="00C43AD8"/>
    <w:rsid w:val="00C45AD4"/>
    <w:rsid w:val="00C472C1"/>
    <w:rsid w:val="00C507B7"/>
    <w:rsid w:val="00C52A1E"/>
    <w:rsid w:val="00C55AA2"/>
    <w:rsid w:val="00C55AAF"/>
    <w:rsid w:val="00C63940"/>
    <w:rsid w:val="00C67D03"/>
    <w:rsid w:val="00C70F9A"/>
    <w:rsid w:val="00C81A5B"/>
    <w:rsid w:val="00C91A11"/>
    <w:rsid w:val="00C96E6F"/>
    <w:rsid w:val="00C97AFE"/>
    <w:rsid w:val="00CA5D0C"/>
    <w:rsid w:val="00CB3FAF"/>
    <w:rsid w:val="00CC4466"/>
    <w:rsid w:val="00CC6F90"/>
    <w:rsid w:val="00CD7069"/>
    <w:rsid w:val="00CE02E4"/>
    <w:rsid w:val="00CF07CD"/>
    <w:rsid w:val="00D016A6"/>
    <w:rsid w:val="00D023C8"/>
    <w:rsid w:val="00D10462"/>
    <w:rsid w:val="00D11DBA"/>
    <w:rsid w:val="00D14D73"/>
    <w:rsid w:val="00D23B37"/>
    <w:rsid w:val="00D30B8B"/>
    <w:rsid w:val="00D45ED5"/>
    <w:rsid w:val="00D50872"/>
    <w:rsid w:val="00D510E2"/>
    <w:rsid w:val="00D52D67"/>
    <w:rsid w:val="00D64666"/>
    <w:rsid w:val="00D65F40"/>
    <w:rsid w:val="00D70520"/>
    <w:rsid w:val="00D70BDA"/>
    <w:rsid w:val="00D80267"/>
    <w:rsid w:val="00D82D0A"/>
    <w:rsid w:val="00D82EE6"/>
    <w:rsid w:val="00D83880"/>
    <w:rsid w:val="00D83C65"/>
    <w:rsid w:val="00D91632"/>
    <w:rsid w:val="00DA02CD"/>
    <w:rsid w:val="00DA749A"/>
    <w:rsid w:val="00DB3648"/>
    <w:rsid w:val="00DB5493"/>
    <w:rsid w:val="00DC0639"/>
    <w:rsid w:val="00DC0DB0"/>
    <w:rsid w:val="00DC2B9C"/>
    <w:rsid w:val="00DC3122"/>
    <w:rsid w:val="00DD1D81"/>
    <w:rsid w:val="00DD3060"/>
    <w:rsid w:val="00DD6AFE"/>
    <w:rsid w:val="00DE1C7A"/>
    <w:rsid w:val="00DF3EC0"/>
    <w:rsid w:val="00DF7A45"/>
    <w:rsid w:val="00DF7DFC"/>
    <w:rsid w:val="00E121BF"/>
    <w:rsid w:val="00E172CA"/>
    <w:rsid w:val="00E35228"/>
    <w:rsid w:val="00E355FD"/>
    <w:rsid w:val="00E36E49"/>
    <w:rsid w:val="00E40A6B"/>
    <w:rsid w:val="00E40EB8"/>
    <w:rsid w:val="00E4751D"/>
    <w:rsid w:val="00E615F2"/>
    <w:rsid w:val="00E7566D"/>
    <w:rsid w:val="00E84A95"/>
    <w:rsid w:val="00E90AB6"/>
    <w:rsid w:val="00E943EB"/>
    <w:rsid w:val="00EA28D1"/>
    <w:rsid w:val="00EA3270"/>
    <w:rsid w:val="00EA3F61"/>
    <w:rsid w:val="00EB005F"/>
    <w:rsid w:val="00EB55AC"/>
    <w:rsid w:val="00EC2162"/>
    <w:rsid w:val="00EC2195"/>
    <w:rsid w:val="00EC2FD8"/>
    <w:rsid w:val="00EC44F1"/>
    <w:rsid w:val="00ED3118"/>
    <w:rsid w:val="00ED6B09"/>
    <w:rsid w:val="00ED79F6"/>
    <w:rsid w:val="00EE2D81"/>
    <w:rsid w:val="00EF193E"/>
    <w:rsid w:val="00EF75FD"/>
    <w:rsid w:val="00F00EB0"/>
    <w:rsid w:val="00F03302"/>
    <w:rsid w:val="00F141B8"/>
    <w:rsid w:val="00F164DA"/>
    <w:rsid w:val="00F20875"/>
    <w:rsid w:val="00F2300A"/>
    <w:rsid w:val="00F2411B"/>
    <w:rsid w:val="00F37200"/>
    <w:rsid w:val="00F37D31"/>
    <w:rsid w:val="00F37FB8"/>
    <w:rsid w:val="00F579BA"/>
    <w:rsid w:val="00F610BB"/>
    <w:rsid w:val="00F70752"/>
    <w:rsid w:val="00F70CDF"/>
    <w:rsid w:val="00F7570F"/>
    <w:rsid w:val="00F80B75"/>
    <w:rsid w:val="00F82D8C"/>
    <w:rsid w:val="00F84C44"/>
    <w:rsid w:val="00F8721A"/>
    <w:rsid w:val="00F913E8"/>
    <w:rsid w:val="00F92660"/>
    <w:rsid w:val="00F97501"/>
    <w:rsid w:val="00F97974"/>
    <w:rsid w:val="00FA2A14"/>
    <w:rsid w:val="00FB74ED"/>
    <w:rsid w:val="00FD543F"/>
    <w:rsid w:val="00FE7BFA"/>
    <w:rsid w:val="00FE7DD8"/>
    <w:rsid w:val="00FF1DFA"/>
    <w:rsid w:val="00FF4996"/>
    <w:rsid w:val="09B246BB"/>
    <w:rsid w:val="0CD76CDD"/>
    <w:rsid w:val="158C35CD"/>
    <w:rsid w:val="1BFB70B0"/>
    <w:rsid w:val="36D275E9"/>
    <w:rsid w:val="3D123A44"/>
    <w:rsid w:val="4D6F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page number"/>
    <w:basedOn w:val="a0"/>
  </w:style>
  <w:style w:type="character" w:customStyle="1" w:styleId="HTMLChar">
    <w:name w:val="HTML 预设格式 Char"/>
    <w:link w:val="HTML"/>
    <w:locked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apple-style-span">
    <w:name w:val="apple-style-span"/>
    <w:basedOn w:val="a0"/>
  </w:style>
  <w:style w:type="character" w:customStyle="1" w:styleId="Char">
    <w:name w:val="纯文本 Char"/>
    <w:link w:val="a5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6">
    <w:name w:val="Body Text Indent"/>
    <w:basedOn w:val="a"/>
    <w:pPr>
      <w:ind w:firstLine="630"/>
    </w:pPr>
    <w:rPr>
      <w:rFonts w:ascii="黑体" w:eastAsia="黑体" w:hAnsi="华文仿宋"/>
      <w:sz w:val="32"/>
    </w:rPr>
  </w:style>
  <w:style w:type="paragraph" w:styleId="a7">
    <w:name w:val="Body Text"/>
    <w:basedOn w:val="a"/>
    <w:pPr>
      <w:jc w:val="center"/>
    </w:pPr>
    <w:rPr>
      <w:sz w:val="36"/>
      <w:szCs w:val="20"/>
    </w:r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"/>
    <w:rPr>
      <w:rFonts w:ascii="宋体" w:hAnsi="Courier New" w:cs="Courier New"/>
      <w:szCs w:val="21"/>
    </w:rPr>
  </w:style>
  <w:style w:type="paragraph" w:customStyle="1" w:styleId="Char0">
    <w:name w:val="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customStyle="1" w:styleId="CharCharCharChar">
    <w:name w:val=" Char Char Char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rPr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c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1">
    <w:name w:val="_Style 1"/>
    <w:basedOn w:val="a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CharChar1CharChar">
    <w:name w:val=" Char Char1 Char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CharCharCharCharCharChar1Char">
    <w:name w:val="Char Char Char Char Char Char1 Char"/>
    <w:basedOn w:val="a"/>
    <w:pPr>
      <w:widowControl/>
      <w:spacing w:after="160" w:line="240" w:lineRule="exact"/>
      <w:jc w:val="left"/>
    </w:pPr>
    <w:rPr>
      <w:szCs w:val="20"/>
    </w:rPr>
  </w:style>
  <w:style w:type="paragraph" w:customStyle="1" w:styleId="title">
    <w:name w:val="title"/>
    <w:basedOn w:val="a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677</Words>
  <Characters>3859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Administrator</dc:creator>
  <cp:lastModifiedBy>Administrator</cp:lastModifiedBy>
  <cp:revision>3</cp:revision>
  <cp:lastPrinted>2016-06-07T01:35:00Z</cp:lastPrinted>
  <dcterms:created xsi:type="dcterms:W3CDTF">2017-11-29T02:16:00Z</dcterms:created>
  <dcterms:modified xsi:type="dcterms:W3CDTF">2017-11-29T02:19:00Z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