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val="en-US"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潮州市中小学生庆祝国庆合唱比赛名额分配表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992" w:type="dxa"/>
        <w:jc w:val="center"/>
        <w:tblInd w:w="-2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7"/>
        <w:gridCol w:w="1512"/>
        <w:gridCol w:w="1383"/>
        <w:gridCol w:w="1467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潮安区教育局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饶平县教育局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湘桥区教育局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枫溪区教育局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凤泉湖高新区社事局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潮州市职业技术学校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潮州市金山中学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潮州市高级中学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潮州市绵德中学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潮州市金山实验学校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潮州市高级实验学校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潮州市实验学校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潮州市绵德小学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noWrap w:val="0"/>
            <w:vAlign w:val="top"/>
          </w:tcPr>
          <w:p>
            <w:pPr>
              <w:widowControl/>
              <w:spacing w:line="338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潮州市中小学生庆祝国庆合唱比赛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报送</w:t>
      </w:r>
      <w:r>
        <w:rPr>
          <w:rFonts w:hint="eastAsia" w:ascii="方正小标宋简体" w:eastAsia="方正小标宋简体"/>
          <w:kern w:val="0"/>
          <w:sz w:val="36"/>
          <w:szCs w:val="36"/>
        </w:rPr>
        <w:t>表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</w:p>
    <w:p>
      <w:pPr>
        <w:adjustRightInd w:val="0"/>
        <w:snapToGrid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单位（盖章）：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报送人：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联系电话：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</w:t>
      </w:r>
    </w:p>
    <w:tbl>
      <w:tblPr>
        <w:tblStyle w:val="2"/>
        <w:tblW w:w="1369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560"/>
        <w:gridCol w:w="2701"/>
        <w:gridCol w:w="1280"/>
        <w:gridCol w:w="710"/>
        <w:gridCol w:w="1565"/>
        <w:gridCol w:w="995"/>
        <w:gridCol w:w="1706"/>
        <w:gridCol w:w="1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组别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节目名称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节目时长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（分、秒）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参演人数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指导教师（不超过3人）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学校分管领导姓名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学校分管领导联系电话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B656E"/>
    <w:rsid w:val="039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2019-04-23T01:53:00Z</dcterms:created>
  <dc:creator>海花</dc:creator>
  <cp:lastModifiedBy>海花</cp:lastModifiedBy>
  <dcterms:modified xsi:type="dcterms:W3CDTF">2019-04-23T01:54:23Z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